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outlineLvl w:val="0"/>
        <w:rPr>
          <w:rFonts w:ascii="黑体" w:eastAsia="黑体"/>
          <w:b/>
          <w:szCs w:val="21"/>
        </w:rPr>
      </w:pPr>
      <w:r>
        <w:rPr>
          <w:rFonts w:hint="eastAsia" w:ascii="黑体" w:eastAsia="黑体"/>
          <w:b/>
          <w:sz w:val="48"/>
          <w:szCs w:val="48"/>
        </w:rPr>
        <w:t xml:space="preserve">                       </w:t>
      </w:r>
      <w:r>
        <w:rPr>
          <w:rFonts w:hint="eastAsia" w:ascii="黑体" w:eastAsia="黑体"/>
          <w:b/>
          <w:szCs w:val="21"/>
        </w:rPr>
        <w:t xml:space="preserve"> 招标序号：浙建航招2021131号</w:t>
      </w:r>
    </w:p>
    <w:p>
      <w:pPr>
        <w:jc w:val="center"/>
        <w:rPr>
          <w:rFonts w:ascii="宋体" w:hAnsi="宋体" w:cs="宋体"/>
          <w:b/>
          <w:bCs/>
          <w:color w:val="auto"/>
          <w:sz w:val="52"/>
          <w:szCs w:val="52"/>
          <w:highlight w:val="none"/>
        </w:rPr>
      </w:pPr>
      <w:bookmarkStart w:id="130" w:name="_GoBack"/>
      <w:bookmarkStart w:id="0" w:name="_Toc141601970"/>
      <w:bookmarkStart w:id="1" w:name="_Toc287708701"/>
    </w:p>
    <w:p>
      <w:pPr>
        <w:jc w:val="center"/>
        <w:rPr>
          <w:rFonts w:ascii="宋体" w:hAnsi="宋体"/>
          <w:b/>
          <w:bCs/>
          <w:color w:val="auto"/>
          <w:sz w:val="52"/>
          <w:szCs w:val="52"/>
          <w:highlight w:val="none"/>
        </w:rPr>
      </w:pPr>
      <w:r>
        <w:rPr>
          <w:rFonts w:hint="eastAsia" w:ascii="宋体" w:hAnsi="宋体" w:cs="宋体"/>
          <w:b/>
          <w:bCs/>
          <w:color w:val="auto"/>
          <w:sz w:val="52"/>
          <w:szCs w:val="52"/>
          <w:highlight w:val="none"/>
        </w:rPr>
        <w:t>中石化丽水7座分布式光伏发电站项目</w:t>
      </w:r>
    </w:p>
    <w:p>
      <w:pPr>
        <w:rPr>
          <w:rFonts w:ascii="宋体" w:hAnsi="宋体"/>
          <w:color w:val="auto"/>
          <w:sz w:val="52"/>
          <w:szCs w:val="52"/>
          <w:highlight w:val="none"/>
        </w:rPr>
      </w:pPr>
    </w:p>
    <w:p>
      <w:pPr>
        <w:rPr>
          <w:rFonts w:ascii="宋体" w:hAnsi="宋体"/>
          <w:color w:val="auto"/>
          <w:highlight w:val="none"/>
        </w:rPr>
      </w:pPr>
      <w:r>
        <w:rPr>
          <w:rFonts w:hint="eastAsia" w:ascii="宋体" w:hAnsi="宋体"/>
          <w:color w:val="auto"/>
          <w:highlight w:val="none"/>
        </w:rPr>
        <w:t xml:space="preserve">                                            </w:t>
      </w:r>
    </w:p>
    <w:p>
      <w:pPr>
        <w:rPr>
          <w:rFonts w:ascii="宋体" w:hAnsi="宋体"/>
          <w:color w:val="auto"/>
          <w:highlight w:val="none"/>
        </w:rPr>
      </w:pPr>
    </w:p>
    <w:p>
      <w:pPr>
        <w:rPr>
          <w:rFonts w:ascii="宋体" w:hAnsi="宋体"/>
          <w:color w:val="auto"/>
          <w:highlight w:val="none"/>
        </w:rPr>
      </w:pPr>
      <w:r>
        <w:rPr>
          <w:rFonts w:ascii="宋体" w:hAnsi="宋体"/>
          <w:color w:val="auto"/>
          <w:highlight w:val="none"/>
        </w:rPr>
        <w:pict>
          <v:rect id="矩形 324" o:spid="_x0000_s1026" o:spt="1" style="position:absolute;left:0pt;margin-left:162pt;margin-top:7.8pt;height:335.4pt;width:90.45pt;z-index:251659264;mso-width-relative:page;mso-height-relative:page;" filled="f" stroked="f" coordsize="21600,21600">
            <v:path/>
            <v:fill on="f" focussize="0,0"/>
            <v:stroke on="f"/>
            <v:imagedata o:title=""/>
            <o:lock v:ext="edit"/>
            <v:textbox style="layout-flow:vertical-ideographic;">
              <w:txbxContent>
                <w:p>
                  <w:pPr>
                    <w:spacing w:line="360" w:lineRule="auto"/>
                    <w:jc w:val="center"/>
                    <w:rPr>
                      <w:rFonts w:ascii="宋体" w:hAnsi="宋体"/>
                      <w:b/>
                      <w:sz w:val="84"/>
                    </w:rPr>
                  </w:pPr>
                  <w:r>
                    <w:rPr>
                      <w:rFonts w:hint="eastAsia" w:ascii="宋体" w:hAnsi="宋体"/>
                      <w:b/>
                      <w:sz w:val="84"/>
                    </w:rPr>
                    <w:t>招</w:t>
                  </w:r>
                  <w:r>
                    <w:rPr>
                      <w:rFonts w:ascii="宋体" w:hAnsi="宋体"/>
                      <w:b/>
                      <w:sz w:val="84"/>
                    </w:rPr>
                    <w:t xml:space="preserve"> </w:t>
                  </w:r>
                  <w:r>
                    <w:rPr>
                      <w:rFonts w:hint="eastAsia" w:ascii="宋体" w:hAnsi="宋体"/>
                      <w:b/>
                      <w:sz w:val="84"/>
                    </w:rPr>
                    <w:t xml:space="preserve"> 标</w:t>
                  </w:r>
                  <w:r>
                    <w:rPr>
                      <w:rFonts w:ascii="宋体" w:hAnsi="宋体"/>
                      <w:b/>
                      <w:sz w:val="84"/>
                    </w:rPr>
                    <w:t xml:space="preserve"> </w:t>
                  </w:r>
                  <w:r>
                    <w:rPr>
                      <w:rFonts w:hint="eastAsia" w:ascii="宋体" w:hAnsi="宋体"/>
                      <w:b/>
                      <w:sz w:val="84"/>
                    </w:rPr>
                    <w:t xml:space="preserve"> 文 </w:t>
                  </w:r>
                  <w:r>
                    <w:rPr>
                      <w:rFonts w:ascii="宋体" w:hAnsi="宋体"/>
                      <w:b/>
                      <w:sz w:val="84"/>
                    </w:rPr>
                    <w:t xml:space="preserve"> </w:t>
                  </w:r>
                  <w:r>
                    <w:rPr>
                      <w:rFonts w:hint="eastAsia" w:ascii="宋体" w:hAnsi="宋体"/>
                      <w:b/>
                      <w:sz w:val="84"/>
                    </w:rPr>
                    <w:t>件</w:t>
                  </w:r>
                </w:p>
              </w:txbxContent>
            </v:textbox>
          </v:rect>
        </w:pict>
      </w: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spacing w:line="480" w:lineRule="auto"/>
        <w:rPr>
          <w:rFonts w:ascii="宋体" w:hAnsi="宋体"/>
          <w:color w:val="auto"/>
          <w:highlight w:val="none"/>
        </w:rPr>
      </w:pPr>
    </w:p>
    <w:p>
      <w:pPr>
        <w:spacing w:line="480" w:lineRule="auto"/>
        <w:ind w:firstLine="602" w:firstLineChars="200"/>
        <w:jc w:val="left"/>
        <w:rPr>
          <w:rFonts w:ascii="宋体" w:hAnsi="宋体"/>
          <w:b/>
          <w:color w:val="auto"/>
          <w:sz w:val="30"/>
          <w:szCs w:val="30"/>
          <w:highlight w:val="none"/>
        </w:rPr>
      </w:pPr>
      <w:r>
        <w:rPr>
          <w:rFonts w:hint="eastAsia" w:ascii="宋体" w:hAnsi="宋体"/>
          <w:b/>
          <w:color w:val="auto"/>
          <w:sz w:val="30"/>
          <w:szCs w:val="30"/>
          <w:highlight w:val="none"/>
        </w:rPr>
        <w:t>招标单位：</w:t>
      </w:r>
      <w:bookmarkStart w:id="2" w:name="_Hlk75200260"/>
      <w:r>
        <w:rPr>
          <w:rFonts w:hint="eastAsia" w:ascii="宋体" w:hAnsi="宋体"/>
          <w:b/>
          <w:color w:val="auto"/>
          <w:sz w:val="30"/>
          <w:szCs w:val="30"/>
          <w:highlight w:val="none"/>
        </w:rPr>
        <w:t>中国石化销售股份有限公司</w:t>
      </w:r>
      <w:bookmarkEnd w:id="2"/>
      <w:r>
        <w:rPr>
          <w:rFonts w:hint="eastAsia" w:ascii="宋体" w:hAnsi="宋体"/>
          <w:b/>
          <w:color w:val="auto"/>
          <w:sz w:val="30"/>
          <w:szCs w:val="30"/>
          <w:highlight w:val="none"/>
        </w:rPr>
        <w:t>浙江丽水石油分公司</w:t>
      </w:r>
    </w:p>
    <w:p>
      <w:pPr>
        <w:spacing w:line="480" w:lineRule="auto"/>
        <w:ind w:firstLine="602" w:firstLineChars="200"/>
        <w:jc w:val="left"/>
        <w:rPr>
          <w:rFonts w:ascii="宋体" w:hAnsi="宋体"/>
          <w:b/>
          <w:color w:val="auto"/>
          <w:sz w:val="30"/>
          <w:szCs w:val="30"/>
          <w:highlight w:val="none"/>
        </w:rPr>
      </w:pPr>
      <w:r>
        <w:rPr>
          <w:rFonts w:hint="eastAsia" w:ascii="宋体" w:hAnsi="宋体"/>
          <w:b/>
          <w:color w:val="auto"/>
          <w:sz w:val="30"/>
          <w:szCs w:val="30"/>
          <w:highlight w:val="none"/>
        </w:rPr>
        <w:t>招标代理单位： 浙江建航工程咨询有限公司</w:t>
      </w:r>
    </w:p>
    <w:p>
      <w:pPr>
        <w:tabs>
          <w:tab w:val="left" w:pos="2982"/>
        </w:tabs>
        <w:spacing w:line="480" w:lineRule="auto"/>
        <w:jc w:val="center"/>
        <w:rPr>
          <w:rFonts w:ascii="宋体" w:hAnsi="宋体"/>
          <w:color w:val="auto"/>
          <w:sz w:val="36"/>
          <w:highlight w:val="none"/>
        </w:rPr>
      </w:pPr>
      <w:r>
        <w:rPr>
          <w:rFonts w:hint="eastAsia" w:ascii="宋体" w:hAnsi="宋体"/>
          <w:b/>
          <w:color w:val="auto"/>
          <w:sz w:val="30"/>
          <w:szCs w:val="30"/>
          <w:highlight w:val="none"/>
        </w:rPr>
        <w:t xml:space="preserve">二○二一年九月   </w:t>
      </w:r>
      <w:r>
        <w:rPr>
          <w:rFonts w:hint="eastAsia" w:ascii="宋体" w:hAnsi="宋体"/>
          <w:color w:val="auto"/>
          <w:sz w:val="24"/>
          <w:highlight w:val="none"/>
        </w:rPr>
        <w:t xml:space="preserve">                                            </w:t>
      </w:r>
    </w:p>
    <w:p>
      <w:pPr>
        <w:pStyle w:val="2"/>
        <w:rPr>
          <w:color w:val="auto"/>
          <w:sz w:val="30"/>
          <w:szCs w:val="30"/>
          <w:highlight w:val="none"/>
        </w:rPr>
      </w:pPr>
      <w:r>
        <w:rPr>
          <w:rFonts w:hint="eastAsia" w:cs="宋体"/>
          <w:b w:val="0"/>
          <w:bCs/>
          <w:color w:val="auto"/>
          <w:sz w:val="30"/>
          <w:szCs w:val="30"/>
          <w:highlight w:val="none"/>
        </w:rPr>
        <w:t>中石化丽水7座分布式光伏发电站项目招标公告</w:t>
      </w:r>
    </w:p>
    <w:p>
      <w:pPr>
        <w:spacing w:line="360" w:lineRule="auto"/>
        <w:ind w:firstLine="420" w:firstLineChars="200"/>
        <w:jc w:val="right"/>
        <w:rPr>
          <w:rFonts w:ascii="Cambria" w:hAnsi="Cambria"/>
          <w:b/>
          <w:bCs/>
          <w:color w:val="auto"/>
          <w:szCs w:val="21"/>
          <w:highlight w:val="none"/>
          <w:lang w:val="zh-CN"/>
        </w:rPr>
      </w:pPr>
      <w:r>
        <w:rPr>
          <w:rFonts w:hint="eastAsia" w:ascii="宋体" w:hAnsi="宋体"/>
          <w:color w:val="auto"/>
          <w:szCs w:val="21"/>
          <w:highlight w:val="none"/>
        </w:rPr>
        <w:t>招标序号：浙建航招2021131号</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本项目按照公开、公平、公正的原则，采用公开招标形式选定中石化丽水7座分布式光伏发电站项目实施单位。</w:t>
      </w:r>
    </w:p>
    <w:p>
      <w:pPr>
        <w:spacing w:line="360" w:lineRule="auto"/>
        <w:ind w:left="420"/>
        <w:rPr>
          <w:rFonts w:ascii="宋体" w:hAnsi="宋体"/>
          <w:color w:val="auto"/>
          <w:szCs w:val="21"/>
          <w:highlight w:val="none"/>
        </w:rPr>
      </w:pPr>
      <w:r>
        <w:rPr>
          <w:rFonts w:hint="eastAsia" w:ascii="宋体" w:hAnsi="宋体"/>
          <w:color w:val="auto"/>
          <w:szCs w:val="21"/>
          <w:highlight w:val="none"/>
        </w:rPr>
        <w:t>1、项目业主：中国石化销售股份有限公司浙江丽水石油分公司</w:t>
      </w:r>
    </w:p>
    <w:p>
      <w:pPr>
        <w:spacing w:line="360" w:lineRule="auto"/>
        <w:ind w:left="420"/>
        <w:rPr>
          <w:rFonts w:ascii="宋体" w:hAnsi="宋体"/>
          <w:color w:val="auto"/>
          <w:szCs w:val="21"/>
          <w:highlight w:val="none"/>
        </w:rPr>
      </w:pPr>
      <w:r>
        <w:rPr>
          <w:rFonts w:hint="eastAsia" w:ascii="宋体" w:hAnsi="宋体"/>
          <w:color w:val="auto"/>
          <w:szCs w:val="21"/>
          <w:highlight w:val="none"/>
        </w:rPr>
        <w:t>2、建设规模：光伏电站暂定总装机容量约0.37MW，（包括三岩寺加油站、城南加油站、城北加油站、七百秧加油站、富岭加油站、风化加油站、九里加油站）</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3、投标人资格条件 (需同时具有以下条件)：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根据莲都区促进分布式光伏发电产业健康有序发展的实施细则（试行）莲发改[2018]8号文件要求，投标人需满足上述文件要求且能完成项目备案及验收并网发电等流程。具有太阳能光电光伏系统供货能力的独立企业。（①具有招标设备生产能力的制造商或其授权代理商；②法定代表人为同一人的两个及以上法人，母公司、全资子公司及其控股公司不得同时参加该项目投标；一个制造商对同一品牌同一型号的货物，仅能委托一个代理商参加投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3.2具有健全的财务制度和依法缴纳税收的良好记录；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3.3同时具有电力工程施工总承包叁级及以上资质 和安全生产许可证；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3.4投标人未被“信用中国”网站（http://www.creditchina.gov.cn）和“信用中国（浙江）”网站（http://credit.zj.gov.cn）列入严重失信黑名单；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3.5投标的屋顶光伏建设选用设备需达到国家“光伏领跑者计划”明确的技术指标或经过国家认监委批准的认证机构认证且达标的产品。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3.6本项目不接受联合体投标；</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4、项目经理资质要求：具有机电工程专业注册建造师贰级及以上资质</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5、获取方式：网上下载：2021年9月3日起在</w:t>
      </w:r>
      <w:r>
        <w:rPr>
          <w:rFonts w:hint="eastAsia" w:hAnsi="宋体"/>
          <w:color w:val="auto"/>
          <w:szCs w:val="21"/>
          <w:highlight w:val="none"/>
        </w:rPr>
        <w:t>浙江建航工程咨询有限公司网（</w:t>
      </w:r>
      <w:r>
        <w:rPr>
          <w:color w:val="auto"/>
          <w:highlight w:val="none"/>
        </w:rPr>
        <w:fldChar w:fldCharType="begin"/>
      </w:r>
      <w:r>
        <w:rPr>
          <w:color w:val="auto"/>
          <w:highlight w:val="none"/>
        </w:rPr>
        <w:instrText xml:space="preserve"> HYPERLINK "http://www.zjjhzx.cn/" </w:instrText>
      </w:r>
      <w:r>
        <w:rPr>
          <w:color w:val="auto"/>
          <w:highlight w:val="none"/>
        </w:rPr>
        <w:fldChar w:fldCharType="separate"/>
      </w:r>
      <w:r>
        <w:rPr>
          <w:rFonts w:hAnsi="宋体"/>
          <w:color w:val="auto"/>
          <w:szCs w:val="21"/>
          <w:highlight w:val="none"/>
        </w:rPr>
        <w:t>http://www.zjjhzx.cn/</w:t>
      </w:r>
      <w:r>
        <w:rPr>
          <w:rFonts w:hAnsi="宋体"/>
          <w:color w:val="auto"/>
          <w:szCs w:val="21"/>
          <w:highlight w:val="none"/>
        </w:rPr>
        <w:fldChar w:fldCharType="end"/>
      </w:r>
      <w:r>
        <w:rPr>
          <w:rFonts w:hAnsi="宋体"/>
          <w:color w:val="auto"/>
          <w:szCs w:val="21"/>
          <w:highlight w:val="none"/>
        </w:rPr>
        <w:t>）</w:t>
      </w:r>
      <w:r>
        <w:rPr>
          <w:rFonts w:hint="eastAsia" w:ascii="宋体" w:hAnsi="宋体"/>
          <w:color w:val="auto"/>
          <w:szCs w:val="21"/>
          <w:highlight w:val="none"/>
        </w:rPr>
        <w:t>上发布并供下载。</w:t>
      </w:r>
    </w:p>
    <w:p>
      <w:pPr>
        <w:spacing w:line="360" w:lineRule="auto"/>
        <w:ind w:left="420"/>
        <w:rPr>
          <w:rFonts w:ascii="宋体" w:hAnsi="宋体"/>
          <w:color w:val="auto"/>
          <w:szCs w:val="21"/>
          <w:highlight w:val="none"/>
        </w:rPr>
      </w:pPr>
    </w:p>
    <w:p>
      <w:pPr>
        <w:spacing w:line="360" w:lineRule="exact"/>
        <w:rPr>
          <w:rFonts w:ascii="宋体" w:hAnsi="宋体"/>
          <w:color w:val="auto"/>
          <w:szCs w:val="21"/>
          <w:highlight w:val="none"/>
        </w:rPr>
      </w:pPr>
    </w:p>
    <w:p>
      <w:pPr>
        <w:topLinePunct/>
        <w:spacing w:line="400" w:lineRule="exact"/>
        <w:ind w:right="-624" w:rightChars="-297" w:firstLine="105" w:firstLineChars="50"/>
        <w:rPr>
          <w:rFonts w:ascii="宋体" w:hAnsi="宋体"/>
          <w:color w:val="auto"/>
          <w:szCs w:val="21"/>
          <w:highlight w:val="none"/>
        </w:rPr>
      </w:pPr>
      <w:r>
        <w:rPr>
          <w:rFonts w:ascii="宋体" w:hAnsi="宋体"/>
          <w:color w:val="auto"/>
          <w:szCs w:val="21"/>
          <w:highlight w:val="none"/>
        </w:rPr>
        <w:t>发包人</w:t>
      </w:r>
      <w:r>
        <w:rPr>
          <w:rFonts w:hint="eastAsia" w:ascii="宋体" w:hAnsi="宋体"/>
          <w:color w:val="auto"/>
          <w:szCs w:val="21"/>
          <w:highlight w:val="none"/>
        </w:rPr>
        <w:t xml:space="preserve">：中国石化销售股份有限公司浙江丽水石油分公司    </w:t>
      </w:r>
      <w:r>
        <w:rPr>
          <w:rFonts w:ascii="宋体" w:hAnsi="宋体"/>
          <w:color w:val="auto"/>
          <w:szCs w:val="21"/>
          <w:highlight w:val="none"/>
        </w:rPr>
        <w:t>发包代理：</w:t>
      </w:r>
      <w:r>
        <w:rPr>
          <w:rFonts w:hint="eastAsia" w:ascii="宋体" w:hAnsi="宋体"/>
          <w:color w:val="auto"/>
          <w:szCs w:val="21"/>
          <w:highlight w:val="none"/>
        </w:rPr>
        <w:t>浙江建航工程咨询有限公司</w:t>
      </w:r>
    </w:p>
    <w:p>
      <w:pPr>
        <w:topLinePunct/>
        <w:spacing w:line="400" w:lineRule="exact"/>
        <w:ind w:firstLine="105" w:firstLineChars="50"/>
        <w:rPr>
          <w:rFonts w:ascii="宋体" w:hAnsi="宋体"/>
          <w:color w:val="auto"/>
          <w:szCs w:val="21"/>
          <w:highlight w:val="none"/>
        </w:rPr>
      </w:pPr>
      <w:r>
        <w:rPr>
          <w:rFonts w:hint="eastAsia" w:ascii="宋体" w:hAnsi="宋体"/>
          <w:color w:val="auto"/>
          <w:szCs w:val="21"/>
          <w:highlight w:val="none"/>
        </w:rPr>
        <w:t>联系地址</w:t>
      </w:r>
      <w:r>
        <w:rPr>
          <w:rFonts w:ascii="宋体" w:hAnsi="宋体"/>
          <w:color w:val="auto"/>
          <w:szCs w:val="21"/>
          <w:highlight w:val="none"/>
        </w:rPr>
        <w:t>：</w:t>
      </w:r>
      <w:r>
        <w:rPr>
          <w:rFonts w:hint="eastAsia" w:ascii="宋体" w:hAnsi="宋体"/>
          <w:color w:val="auto"/>
          <w:szCs w:val="21"/>
          <w:highlight w:val="none"/>
        </w:rPr>
        <w:t>丽水市丽青路                                地  址: 丽水市万丰北路</w:t>
      </w:r>
      <w:r>
        <w:rPr>
          <w:rFonts w:ascii="宋体" w:hAnsi="宋体"/>
          <w:color w:val="auto"/>
          <w:szCs w:val="21"/>
          <w:highlight w:val="none"/>
        </w:rPr>
        <w:t>72</w:t>
      </w:r>
      <w:r>
        <w:rPr>
          <w:rFonts w:hint="eastAsia" w:ascii="宋体" w:hAnsi="宋体"/>
          <w:color w:val="auto"/>
          <w:szCs w:val="21"/>
          <w:highlight w:val="none"/>
        </w:rPr>
        <w:t>号</w:t>
      </w:r>
    </w:p>
    <w:p>
      <w:pPr>
        <w:topLinePunct/>
        <w:spacing w:line="400" w:lineRule="exact"/>
        <w:ind w:left="-124" w:leftChars="-59" w:firstLine="105" w:firstLineChars="50"/>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联系人：</w:t>
      </w:r>
      <w:r>
        <w:rPr>
          <w:rFonts w:hint="eastAsia" w:ascii="宋体" w:hAnsi="宋体"/>
          <w:color w:val="auto"/>
          <w:szCs w:val="21"/>
          <w:highlight w:val="none"/>
        </w:rPr>
        <w:t xml:space="preserve">周工                                          </w:t>
      </w:r>
      <w:r>
        <w:rPr>
          <w:rFonts w:ascii="宋体" w:hAnsi="宋体"/>
          <w:color w:val="auto"/>
          <w:szCs w:val="21"/>
          <w:highlight w:val="none"/>
        </w:rPr>
        <w:t>联系人：</w:t>
      </w:r>
      <w:r>
        <w:rPr>
          <w:rFonts w:hint="eastAsia" w:ascii="宋体" w:hAnsi="宋体"/>
          <w:color w:val="auto"/>
          <w:szCs w:val="21"/>
          <w:highlight w:val="none"/>
        </w:rPr>
        <w:t xml:space="preserve">瞿庆荷 、陈晨静  </w:t>
      </w:r>
    </w:p>
    <w:p>
      <w:pPr>
        <w:topLinePunct/>
        <w:spacing w:line="400" w:lineRule="exact"/>
        <w:ind w:left="-124" w:leftChars="-59" w:firstLine="210" w:firstLineChars="100"/>
        <w:rPr>
          <w:rFonts w:ascii="宋体" w:hAnsi="宋体"/>
          <w:color w:val="auto"/>
          <w:szCs w:val="21"/>
          <w:highlight w:val="none"/>
        </w:rPr>
      </w:pPr>
      <w:r>
        <w:rPr>
          <w:rFonts w:ascii="宋体" w:hAnsi="宋体"/>
          <w:color w:val="auto"/>
          <w:szCs w:val="21"/>
          <w:highlight w:val="none"/>
        </w:rPr>
        <w:t>电  话：</w:t>
      </w:r>
      <w:r>
        <w:rPr>
          <w:rFonts w:hint="eastAsia" w:ascii="宋体" w:hAnsi="宋体"/>
          <w:color w:val="auto"/>
          <w:szCs w:val="21"/>
          <w:highlight w:val="none"/>
        </w:rPr>
        <w:t>2113231  </w:t>
      </w:r>
      <w:r>
        <w:rPr>
          <w:rFonts w:hint="eastAsia" w:ascii="宋体" w:hAnsi="宋体"/>
          <w:color w:val="auto"/>
          <w:szCs w:val="21"/>
          <w:highlight w:val="none"/>
          <w:shd w:val="clear" w:color="auto" w:fill="FFFFFF"/>
        </w:rPr>
        <w:t>  </w:t>
      </w:r>
      <w:r>
        <w:rPr>
          <w:rFonts w:hint="eastAsia" w:ascii="宋体" w:hAnsi="宋体"/>
          <w:color w:val="auto"/>
          <w:szCs w:val="21"/>
          <w:highlight w:val="none"/>
        </w:rPr>
        <w:t xml:space="preserve">                               </w:t>
      </w:r>
      <w:r>
        <w:rPr>
          <w:rFonts w:ascii="宋体" w:hAnsi="宋体"/>
          <w:color w:val="auto"/>
          <w:szCs w:val="21"/>
          <w:highlight w:val="none"/>
        </w:rPr>
        <w:t>电  话：0578-2139703</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 xml:space="preserve">                                                       发布时间：2021年 9月3日</w:t>
      </w:r>
    </w:p>
    <w:p>
      <w:pPr>
        <w:pStyle w:val="2"/>
        <w:rPr>
          <w:color w:val="auto"/>
          <w:highlight w:val="none"/>
        </w:rPr>
      </w:pPr>
      <w:r>
        <w:rPr>
          <w:rFonts w:hint="eastAsia"/>
          <w:color w:val="auto"/>
          <w:highlight w:val="none"/>
        </w:rPr>
        <w:t>前    附    表</w:t>
      </w:r>
      <w:bookmarkEnd w:id="0"/>
      <w:bookmarkEnd w:id="1"/>
    </w:p>
    <w:p>
      <w:pPr>
        <w:rPr>
          <w:color w:val="auto"/>
          <w:highlight w:val="none"/>
        </w:rPr>
      </w:pPr>
    </w:p>
    <w:tbl>
      <w:tblPr>
        <w:tblStyle w:val="4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597"/>
        <w:gridCol w:w="7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741" w:type="dxa"/>
          </w:tcPr>
          <w:p>
            <w:pPr>
              <w:spacing w:line="460" w:lineRule="exact"/>
              <w:jc w:val="center"/>
              <w:outlineLvl w:val="0"/>
              <w:rPr>
                <w:rFonts w:ascii="宋体" w:hAnsi="宋体"/>
                <w:color w:val="auto"/>
                <w:szCs w:val="21"/>
                <w:highlight w:val="none"/>
              </w:rPr>
            </w:pPr>
            <w:r>
              <w:rPr>
                <w:rFonts w:hint="eastAsia" w:ascii="宋体" w:hAnsi="宋体"/>
                <w:color w:val="auto"/>
                <w:szCs w:val="21"/>
                <w:highlight w:val="none"/>
              </w:rPr>
              <w:t>序号</w:t>
            </w:r>
          </w:p>
        </w:tc>
        <w:tc>
          <w:tcPr>
            <w:tcW w:w="8331" w:type="dxa"/>
            <w:gridSpan w:val="2"/>
          </w:tcPr>
          <w:p>
            <w:pPr>
              <w:spacing w:line="460" w:lineRule="exact"/>
              <w:jc w:val="center"/>
              <w:outlineLvl w:val="0"/>
              <w:rPr>
                <w:rFonts w:ascii="宋体" w:hAnsi="宋体"/>
                <w:color w:val="auto"/>
                <w:szCs w:val="21"/>
                <w:highlight w:val="none"/>
              </w:rPr>
            </w:pPr>
            <w:r>
              <w:rPr>
                <w:rFonts w:hint="eastAsia" w:ascii="宋体" w:hAnsi="宋体"/>
                <w:color w:val="auto"/>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41" w:type="dxa"/>
            <w:vMerge w:val="restart"/>
            <w:vAlign w:val="center"/>
          </w:tcPr>
          <w:p>
            <w:pPr>
              <w:spacing w:line="460" w:lineRule="exact"/>
              <w:jc w:val="center"/>
              <w:outlineLvl w:val="0"/>
              <w:rPr>
                <w:rFonts w:ascii="宋体" w:hAnsi="宋体"/>
                <w:color w:val="auto"/>
                <w:szCs w:val="21"/>
                <w:highlight w:val="none"/>
              </w:rPr>
            </w:pPr>
            <w:r>
              <w:rPr>
                <w:rFonts w:hint="eastAsia" w:ascii="宋体" w:hAnsi="宋体"/>
                <w:color w:val="auto"/>
                <w:szCs w:val="21"/>
                <w:highlight w:val="none"/>
              </w:rPr>
              <w:t>1</w:t>
            </w:r>
          </w:p>
        </w:tc>
        <w:tc>
          <w:tcPr>
            <w:tcW w:w="597" w:type="dxa"/>
            <w:vMerge w:val="restart"/>
            <w:vAlign w:val="center"/>
          </w:tcPr>
          <w:p>
            <w:pPr>
              <w:spacing w:line="360" w:lineRule="auto"/>
              <w:jc w:val="center"/>
              <w:outlineLvl w:val="0"/>
              <w:rPr>
                <w:rFonts w:ascii="宋体" w:hAnsi="宋体"/>
                <w:color w:val="auto"/>
                <w:szCs w:val="21"/>
                <w:highlight w:val="none"/>
              </w:rPr>
            </w:pPr>
            <w:r>
              <w:rPr>
                <w:rFonts w:hint="eastAsia" w:ascii="宋体" w:hAnsi="宋体"/>
                <w:color w:val="auto"/>
                <w:szCs w:val="21"/>
                <w:highlight w:val="none"/>
              </w:rPr>
              <w:t>工</w:t>
            </w:r>
          </w:p>
          <w:p>
            <w:pPr>
              <w:spacing w:line="360" w:lineRule="auto"/>
              <w:jc w:val="center"/>
              <w:outlineLvl w:val="0"/>
              <w:rPr>
                <w:rFonts w:ascii="宋体" w:hAnsi="宋体"/>
                <w:color w:val="auto"/>
                <w:szCs w:val="21"/>
                <w:highlight w:val="none"/>
              </w:rPr>
            </w:pPr>
            <w:r>
              <w:rPr>
                <w:rFonts w:hint="eastAsia" w:ascii="宋体" w:hAnsi="宋体"/>
                <w:color w:val="auto"/>
                <w:szCs w:val="21"/>
                <w:highlight w:val="none"/>
              </w:rPr>
              <w:t>程</w:t>
            </w:r>
          </w:p>
          <w:p>
            <w:pPr>
              <w:spacing w:line="360" w:lineRule="auto"/>
              <w:jc w:val="center"/>
              <w:outlineLvl w:val="0"/>
              <w:rPr>
                <w:rFonts w:ascii="宋体" w:hAnsi="宋体"/>
                <w:color w:val="auto"/>
                <w:szCs w:val="21"/>
                <w:highlight w:val="none"/>
              </w:rPr>
            </w:pPr>
            <w:r>
              <w:rPr>
                <w:rFonts w:hint="eastAsia" w:ascii="宋体" w:hAnsi="宋体"/>
                <w:color w:val="auto"/>
                <w:szCs w:val="21"/>
                <w:highlight w:val="none"/>
              </w:rPr>
              <w:t>综</w:t>
            </w:r>
          </w:p>
          <w:p>
            <w:pPr>
              <w:spacing w:line="360" w:lineRule="auto"/>
              <w:jc w:val="center"/>
              <w:outlineLvl w:val="0"/>
              <w:rPr>
                <w:rFonts w:ascii="宋体" w:hAnsi="宋体"/>
                <w:color w:val="auto"/>
                <w:szCs w:val="21"/>
                <w:highlight w:val="none"/>
              </w:rPr>
            </w:pPr>
            <w:r>
              <w:rPr>
                <w:rFonts w:hint="eastAsia" w:ascii="宋体" w:hAnsi="宋体"/>
                <w:color w:val="auto"/>
                <w:szCs w:val="21"/>
                <w:highlight w:val="none"/>
              </w:rPr>
              <w:t>合</w:t>
            </w:r>
          </w:p>
          <w:p>
            <w:pPr>
              <w:spacing w:line="360" w:lineRule="auto"/>
              <w:jc w:val="center"/>
              <w:outlineLvl w:val="0"/>
              <w:rPr>
                <w:rFonts w:ascii="宋体" w:hAnsi="宋体"/>
                <w:color w:val="auto"/>
                <w:szCs w:val="21"/>
                <w:highlight w:val="none"/>
              </w:rPr>
            </w:pPr>
            <w:r>
              <w:rPr>
                <w:rFonts w:hint="eastAsia" w:ascii="宋体" w:hAnsi="宋体"/>
                <w:color w:val="auto"/>
                <w:szCs w:val="21"/>
                <w:highlight w:val="none"/>
              </w:rPr>
              <w:t>说</w:t>
            </w:r>
          </w:p>
          <w:p>
            <w:pPr>
              <w:spacing w:line="360" w:lineRule="auto"/>
              <w:jc w:val="center"/>
              <w:outlineLvl w:val="0"/>
              <w:rPr>
                <w:rFonts w:ascii="宋体" w:hAnsi="宋体"/>
                <w:color w:val="auto"/>
                <w:szCs w:val="21"/>
                <w:highlight w:val="none"/>
              </w:rPr>
            </w:pPr>
            <w:r>
              <w:rPr>
                <w:rFonts w:hint="eastAsia" w:ascii="宋体" w:hAnsi="宋体"/>
                <w:color w:val="auto"/>
                <w:szCs w:val="21"/>
                <w:highlight w:val="none"/>
              </w:rPr>
              <w:t>明</w:t>
            </w:r>
          </w:p>
        </w:tc>
        <w:tc>
          <w:tcPr>
            <w:tcW w:w="7734" w:type="dxa"/>
            <w:vAlign w:val="center"/>
          </w:tcPr>
          <w:p>
            <w:pPr>
              <w:spacing w:line="360" w:lineRule="auto"/>
              <w:jc w:val="left"/>
              <w:rPr>
                <w:rFonts w:ascii="宋体" w:hAnsi="宋体"/>
                <w:b/>
                <w:color w:val="auto"/>
                <w:sz w:val="32"/>
                <w:szCs w:val="32"/>
                <w:highlight w:val="none"/>
                <w:u w:val="single"/>
              </w:rPr>
            </w:pPr>
            <w:r>
              <w:rPr>
                <w:rFonts w:hint="eastAsia" w:ascii="宋体" w:hAnsi="宋体"/>
                <w:color w:val="auto"/>
                <w:szCs w:val="21"/>
                <w:highlight w:val="none"/>
              </w:rPr>
              <w:t>工程名称：中石化丽水7座分布式光伏发电站项目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41" w:type="dxa"/>
            <w:vMerge w:val="continue"/>
            <w:vAlign w:val="center"/>
          </w:tcPr>
          <w:p>
            <w:pPr>
              <w:spacing w:line="460" w:lineRule="exact"/>
              <w:jc w:val="center"/>
              <w:outlineLvl w:val="0"/>
              <w:rPr>
                <w:rFonts w:ascii="宋体" w:hAnsi="宋体"/>
                <w:color w:val="auto"/>
                <w:szCs w:val="21"/>
                <w:highlight w:val="none"/>
              </w:rPr>
            </w:pPr>
          </w:p>
        </w:tc>
        <w:tc>
          <w:tcPr>
            <w:tcW w:w="597" w:type="dxa"/>
            <w:vMerge w:val="continue"/>
            <w:vAlign w:val="center"/>
          </w:tcPr>
          <w:p>
            <w:pPr>
              <w:spacing w:line="360" w:lineRule="auto"/>
              <w:jc w:val="center"/>
              <w:outlineLvl w:val="0"/>
              <w:rPr>
                <w:rFonts w:ascii="宋体" w:hAnsi="宋体"/>
                <w:color w:val="auto"/>
                <w:szCs w:val="21"/>
                <w:highlight w:val="none"/>
              </w:rPr>
            </w:pPr>
          </w:p>
        </w:tc>
        <w:tc>
          <w:tcPr>
            <w:tcW w:w="7734" w:type="dxa"/>
            <w:vAlign w:val="center"/>
          </w:tcPr>
          <w:p>
            <w:pPr>
              <w:spacing w:line="360" w:lineRule="auto"/>
              <w:outlineLvl w:val="0"/>
              <w:rPr>
                <w:rFonts w:ascii="宋体" w:hAnsi="宋体"/>
                <w:color w:val="auto"/>
                <w:szCs w:val="21"/>
                <w:highlight w:val="none"/>
              </w:rPr>
            </w:pPr>
            <w:r>
              <w:rPr>
                <w:rFonts w:hint="eastAsia" w:ascii="宋体" w:hAnsi="宋体"/>
                <w:color w:val="auto"/>
                <w:szCs w:val="21"/>
                <w:highlight w:val="none"/>
              </w:rPr>
              <w:t>建设地点：丽水市莲都区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41" w:type="dxa"/>
            <w:vMerge w:val="continue"/>
            <w:vAlign w:val="center"/>
          </w:tcPr>
          <w:p>
            <w:pPr>
              <w:spacing w:line="460" w:lineRule="exact"/>
              <w:jc w:val="center"/>
              <w:outlineLvl w:val="0"/>
              <w:rPr>
                <w:rFonts w:ascii="宋体" w:hAnsi="宋体"/>
                <w:color w:val="auto"/>
                <w:szCs w:val="21"/>
                <w:highlight w:val="none"/>
              </w:rPr>
            </w:pPr>
          </w:p>
        </w:tc>
        <w:tc>
          <w:tcPr>
            <w:tcW w:w="597" w:type="dxa"/>
            <w:vMerge w:val="continue"/>
            <w:vAlign w:val="center"/>
          </w:tcPr>
          <w:p>
            <w:pPr>
              <w:spacing w:line="360" w:lineRule="auto"/>
              <w:jc w:val="center"/>
              <w:outlineLvl w:val="0"/>
              <w:rPr>
                <w:rFonts w:ascii="宋体" w:hAnsi="宋体"/>
                <w:color w:val="auto"/>
                <w:szCs w:val="21"/>
                <w:highlight w:val="none"/>
              </w:rPr>
            </w:pPr>
          </w:p>
        </w:tc>
        <w:tc>
          <w:tcPr>
            <w:tcW w:w="7734" w:type="dxa"/>
            <w:vAlign w:val="center"/>
          </w:tcPr>
          <w:p>
            <w:pPr>
              <w:spacing w:line="360" w:lineRule="auto"/>
              <w:outlineLvl w:val="0"/>
              <w:rPr>
                <w:rFonts w:ascii="宋体" w:hAnsi="宋体" w:cs="宋体"/>
                <w:color w:val="auto"/>
                <w:highlight w:val="none"/>
              </w:rPr>
            </w:pPr>
            <w:r>
              <w:rPr>
                <w:rFonts w:hint="eastAsia" w:ascii="宋体" w:hAnsi="宋体"/>
                <w:color w:val="auto"/>
                <w:szCs w:val="21"/>
                <w:highlight w:val="none"/>
              </w:rPr>
              <w:t>建设规模：</w:t>
            </w:r>
            <w:r>
              <w:rPr>
                <w:rFonts w:hint="eastAsia" w:ascii="宋体" w:hAnsi="宋体" w:cs="宋体"/>
                <w:color w:val="auto"/>
                <w:highlight w:val="none"/>
              </w:rPr>
              <w:t>光伏电站暂定总装机容量约0.37MW，（包括三岩寺加油站、城南加油站、城北加油站、七百秧加油站、富岭加油站、风化加油站、九里加油站）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41" w:type="dxa"/>
            <w:vMerge w:val="continue"/>
            <w:vAlign w:val="center"/>
          </w:tcPr>
          <w:p>
            <w:pPr>
              <w:spacing w:line="460" w:lineRule="exact"/>
              <w:jc w:val="center"/>
              <w:outlineLvl w:val="0"/>
              <w:rPr>
                <w:rFonts w:ascii="宋体" w:hAnsi="宋体"/>
                <w:color w:val="auto"/>
                <w:szCs w:val="21"/>
                <w:highlight w:val="none"/>
              </w:rPr>
            </w:pPr>
          </w:p>
        </w:tc>
        <w:tc>
          <w:tcPr>
            <w:tcW w:w="597" w:type="dxa"/>
            <w:vMerge w:val="continue"/>
            <w:vAlign w:val="center"/>
          </w:tcPr>
          <w:p>
            <w:pPr>
              <w:spacing w:line="360" w:lineRule="auto"/>
              <w:jc w:val="center"/>
              <w:outlineLvl w:val="0"/>
              <w:rPr>
                <w:rFonts w:ascii="宋体" w:hAnsi="宋体"/>
                <w:color w:val="auto"/>
                <w:szCs w:val="21"/>
                <w:highlight w:val="none"/>
              </w:rPr>
            </w:pPr>
          </w:p>
        </w:tc>
        <w:tc>
          <w:tcPr>
            <w:tcW w:w="7734" w:type="dxa"/>
            <w:vAlign w:val="center"/>
          </w:tcPr>
          <w:p>
            <w:pPr>
              <w:spacing w:line="360" w:lineRule="auto"/>
              <w:outlineLvl w:val="0"/>
              <w:rPr>
                <w:rFonts w:ascii="宋体" w:hAnsi="宋体"/>
                <w:color w:val="auto"/>
                <w:szCs w:val="21"/>
                <w:highlight w:val="none"/>
              </w:rPr>
            </w:pPr>
            <w:r>
              <w:rPr>
                <w:rFonts w:hint="eastAsia" w:ascii="宋体" w:hAnsi="宋体"/>
                <w:color w:val="auto"/>
                <w:szCs w:val="21"/>
                <w:highlight w:val="none"/>
              </w:rPr>
              <w:t>承包方式：全包交钥匙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41" w:type="dxa"/>
            <w:vMerge w:val="continue"/>
            <w:vAlign w:val="center"/>
          </w:tcPr>
          <w:p>
            <w:pPr>
              <w:spacing w:line="460" w:lineRule="exact"/>
              <w:jc w:val="center"/>
              <w:outlineLvl w:val="0"/>
              <w:rPr>
                <w:rFonts w:ascii="宋体" w:hAnsi="宋体"/>
                <w:color w:val="auto"/>
                <w:szCs w:val="21"/>
                <w:highlight w:val="none"/>
              </w:rPr>
            </w:pPr>
          </w:p>
        </w:tc>
        <w:tc>
          <w:tcPr>
            <w:tcW w:w="597" w:type="dxa"/>
            <w:vMerge w:val="continue"/>
            <w:vAlign w:val="center"/>
          </w:tcPr>
          <w:p>
            <w:pPr>
              <w:spacing w:line="360" w:lineRule="auto"/>
              <w:jc w:val="center"/>
              <w:outlineLvl w:val="0"/>
              <w:rPr>
                <w:rFonts w:ascii="宋体" w:hAnsi="宋体"/>
                <w:color w:val="auto"/>
                <w:szCs w:val="21"/>
                <w:highlight w:val="none"/>
              </w:rPr>
            </w:pPr>
          </w:p>
        </w:tc>
        <w:tc>
          <w:tcPr>
            <w:tcW w:w="7734" w:type="dxa"/>
            <w:vAlign w:val="center"/>
          </w:tcPr>
          <w:p>
            <w:pPr>
              <w:spacing w:line="360" w:lineRule="auto"/>
              <w:outlineLvl w:val="0"/>
              <w:rPr>
                <w:rFonts w:ascii="宋体" w:hAnsi="宋体"/>
                <w:color w:val="auto"/>
                <w:szCs w:val="21"/>
                <w:highlight w:val="none"/>
              </w:rPr>
            </w:pPr>
            <w:r>
              <w:rPr>
                <w:rFonts w:hint="eastAsia" w:ascii="宋体" w:hAnsi="宋体"/>
                <w:color w:val="auto"/>
                <w:szCs w:val="21"/>
                <w:highlight w:val="none"/>
              </w:rPr>
              <w:t>要求质量标准：通过电力局验收，并网发电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41" w:type="dxa"/>
            <w:vMerge w:val="continue"/>
            <w:vAlign w:val="center"/>
          </w:tcPr>
          <w:p>
            <w:pPr>
              <w:spacing w:line="460" w:lineRule="exact"/>
              <w:jc w:val="center"/>
              <w:outlineLvl w:val="0"/>
              <w:rPr>
                <w:rFonts w:ascii="宋体" w:hAnsi="宋体"/>
                <w:color w:val="auto"/>
                <w:szCs w:val="21"/>
                <w:highlight w:val="none"/>
              </w:rPr>
            </w:pPr>
          </w:p>
        </w:tc>
        <w:tc>
          <w:tcPr>
            <w:tcW w:w="597" w:type="dxa"/>
            <w:vMerge w:val="continue"/>
            <w:vAlign w:val="center"/>
          </w:tcPr>
          <w:p>
            <w:pPr>
              <w:spacing w:line="360" w:lineRule="auto"/>
              <w:jc w:val="center"/>
              <w:outlineLvl w:val="0"/>
              <w:rPr>
                <w:rFonts w:ascii="宋体" w:hAnsi="宋体"/>
                <w:color w:val="auto"/>
                <w:szCs w:val="21"/>
                <w:highlight w:val="none"/>
              </w:rPr>
            </w:pPr>
          </w:p>
        </w:tc>
        <w:tc>
          <w:tcPr>
            <w:tcW w:w="7734" w:type="dxa"/>
            <w:vAlign w:val="center"/>
          </w:tcPr>
          <w:p>
            <w:pPr>
              <w:spacing w:line="360" w:lineRule="auto"/>
              <w:outlineLvl w:val="0"/>
              <w:rPr>
                <w:rFonts w:ascii="宋体" w:hAnsi="宋体"/>
                <w:color w:val="auto"/>
                <w:szCs w:val="21"/>
                <w:highlight w:val="none"/>
              </w:rPr>
            </w:pPr>
            <w:r>
              <w:rPr>
                <w:rFonts w:hint="eastAsia" w:ascii="宋体" w:hAnsi="宋体"/>
                <w:color w:val="auto"/>
                <w:szCs w:val="21"/>
                <w:highlight w:val="none"/>
              </w:rPr>
              <w:t>要求工期：55日历天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41" w:type="dxa"/>
            <w:vMerge w:val="continue"/>
            <w:vAlign w:val="center"/>
          </w:tcPr>
          <w:p>
            <w:pPr>
              <w:spacing w:line="460" w:lineRule="exact"/>
              <w:jc w:val="center"/>
              <w:outlineLvl w:val="0"/>
              <w:rPr>
                <w:rFonts w:ascii="宋体" w:hAnsi="宋体"/>
                <w:color w:val="auto"/>
                <w:szCs w:val="21"/>
                <w:highlight w:val="none"/>
              </w:rPr>
            </w:pPr>
          </w:p>
        </w:tc>
        <w:tc>
          <w:tcPr>
            <w:tcW w:w="597" w:type="dxa"/>
            <w:vMerge w:val="continue"/>
            <w:vAlign w:val="center"/>
          </w:tcPr>
          <w:p>
            <w:pPr>
              <w:spacing w:line="360" w:lineRule="auto"/>
              <w:jc w:val="center"/>
              <w:outlineLvl w:val="0"/>
              <w:rPr>
                <w:rFonts w:ascii="宋体" w:hAnsi="宋体"/>
                <w:color w:val="auto"/>
                <w:szCs w:val="21"/>
                <w:highlight w:val="none"/>
              </w:rPr>
            </w:pPr>
          </w:p>
        </w:tc>
        <w:tc>
          <w:tcPr>
            <w:tcW w:w="7734" w:type="dxa"/>
            <w:vAlign w:val="center"/>
          </w:tcPr>
          <w:p>
            <w:pPr>
              <w:spacing w:line="360" w:lineRule="auto"/>
              <w:outlineLvl w:val="0"/>
              <w:rPr>
                <w:rFonts w:ascii="宋体" w:hAnsi="宋体"/>
                <w:color w:val="auto"/>
                <w:szCs w:val="21"/>
                <w:highlight w:val="none"/>
              </w:rPr>
            </w:pPr>
            <w:r>
              <w:rPr>
                <w:rFonts w:hint="eastAsia" w:ascii="宋体" w:hAnsi="宋体"/>
                <w:color w:val="auto"/>
                <w:szCs w:val="21"/>
                <w:highlight w:val="none"/>
              </w:rPr>
              <w:t>取费类别：自行判断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41" w:type="dxa"/>
            <w:vMerge w:val="continue"/>
            <w:vAlign w:val="center"/>
          </w:tcPr>
          <w:p>
            <w:pPr>
              <w:spacing w:line="460" w:lineRule="exact"/>
              <w:jc w:val="center"/>
              <w:outlineLvl w:val="0"/>
              <w:rPr>
                <w:rFonts w:ascii="宋体" w:hAnsi="宋体"/>
                <w:color w:val="auto"/>
                <w:szCs w:val="21"/>
                <w:highlight w:val="none"/>
              </w:rPr>
            </w:pPr>
          </w:p>
        </w:tc>
        <w:tc>
          <w:tcPr>
            <w:tcW w:w="597" w:type="dxa"/>
            <w:vMerge w:val="continue"/>
            <w:vAlign w:val="center"/>
          </w:tcPr>
          <w:p>
            <w:pPr>
              <w:spacing w:line="360" w:lineRule="auto"/>
              <w:jc w:val="center"/>
              <w:outlineLvl w:val="0"/>
              <w:rPr>
                <w:rFonts w:ascii="宋体" w:hAnsi="宋体"/>
                <w:color w:val="auto"/>
                <w:szCs w:val="21"/>
                <w:highlight w:val="none"/>
              </w:rPr>
            </w:pPr>
          </w:p>
        </w:tc>
        <w:tc>
          <w:tcPr>
            <w:tcW w:w="7734" w:type="dxa"/>
            <w:vAlign w:val="center"/>
          </w:tcPr>
          <w:p>
            <w:pPr>
              <w:spacing w:line="360" w:lineRule="auto"/>
              <w:outlineLvl w:val="0"/>
              <w:rPr>
                <w:rFonts w:ascii="宋体" w:hAnsi="宋体"/>
                <w:color w:val="auto"/>
                <w:szCs w:val="21"/>
                <w:highlight w:val="none"/>
              </w:rPr>
            </w:pPr>
            <w:r>
              <w:rPr>
                <w:rFonts w:hint="eastAsia" w:ascii="宋体" w:hAnsi="宋体"/>
                <w:color w:val="auto"/>
                <w:szCs w:val="21"/>
                <w:highlight w:val="none"/>
              </w:rPr>
              <w:t>招标范围：详见投标人须知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41" w:type="dxa"/>
            <w:vAlign w:val="center"/>
          </w:tcPr>
          <w:p>
            <w:pPr>
              <w:spacing w:line="460" w:lineRule="exact"/>
              <w:jc w:val="center"/>
              <w:outlineLvl w:val="0"/>
              <w:rPr>
                <w:rFonts w:ascii="宋体" w:hAnsi="宋体"/>
                <w:color w:val="auto"/>
                <w:szCs w:val="21"/>
                <w:highlight w:val="none"/>
              </w:rPr>
            </w:pPr>
            <w:r>
              <w:rPr>
                <w:rFonts w:hint="eastAsia" w:ascii="宋体" w:hAnsi="宋体"/>
                <w:color w:val="auto"/>
                <w:szCs w:val="21"/>
                <w:highlight w:val="none"/>
              </w:rPr>
              <w:t>2</w:t>
            </w:r>
          </w:p>
        </w:tc>
        <w:tc>
          <w:tcPr>
            <w:tcW w:w="8331" w:type="dxa"/>
            <w:gridSpan w:val="2"/>
            <w:vAlign w:val="center"/>
          </w:tcPr>
          <w:p>
            <w:pPr>
              <w:spacing w:line="360" w:lineRule="auto"/>
              <w:outlineLvl w:val="0"/>
              <w:rPr>
                <w:rFonts w:ascii="宋体" w:hAnsi="宋体"/>
                <w:color w:val="auto"/>
                <w:szCs w:val="21"/>
                <w:highlight w:val="none"/>
              </w:rPr>
            </w:pPr>
            <w:r>
              <w:rPr>
                <w:rFonts w:hint="eastAsia" w:ascii="宋体" w:hAnsi="宋体"/>
                <w:color w:val="auto"/>
                <w:szCs w:val="21"/>
                <w:highlight w:val="none"/>
              </w:rPr>
              <w:t>建设资金来源：自筹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41" w:type="dxa"/>
            <w:vAlign w:val="center"/>
          </w:tcPr>
          <w:p>
            <w:pPr>
              <w:spacing w:line="460" w:lineRule="exact"/>
              <w:jc w:val="center"/>
              <w:outlineLvl w:val="0"/>
              <w:rPr>
                <w:rFonts w:ascii="宋体" w:hAnsi="宋体"/>
                <w:color w:val="auto"/>
                <w:szCs w:val="21"/>
                <w:highlight w:val="none"/>
              </w:rPr>
            </w:pPr>
            <w:r>
              <w:rPr>
                <w:rFonts w:hint="eastAsia" w:ascii="宋体" w:hAnsi="宋体"/>
                <w:color w:val="auto"/>
                <w:szCs w:val="21"/>
                <w:highlight w:val="none"/>
              </w:rPr>
              <w:t>3</w:t>
            </w:r>
          </w:p>
        </w:tc>
        <w:tc>
          <w:tcPr>
            <w:tcW w:w="8331" w:type="dxa"/>
            <w:gridSpan w:val="2"/>
          </w:tcPr>
          <w:p>
            <w:pPr>
              <w:spacing w:line="360" w:lineRule="auto"/>
              <w:rPr>
                <w:rFonts w:ascii="宋体" w:hAnsi="宋体"/>
                <w:color w:val="auto"/>
                <w:szCs w:val="21"/>
                <w:highlight w:val="none"/>
              </w:rPr>
            </w:pPr>
            <w:r>
              <w:rPr>
                <w:rFonts w:hint="eastAsia" w:ascii="宋体" w:hAnsi="宋体"/>
                <w:color w:val="auto"/>
                <w:szCs w:val="21"/>
                <w:highlight w:val="none"/>
              </w:rPr>
              <w:t>投标单位资质要求(需同时具有以下条件)：</w:t>
            </w:r>
          </w:p>
          <w:p>
            <w:pPr>
              <w:spacing w:line="360" w:lineRule="auto"/>
              <w:rPr>
                <w:rFonts w:hint="eastAsia" w:ascii="宋体" w:hAnsi="宋体"/>
                <w:color w:val="auto"/>
                <w:szCs w:val="21"/>
                <w:highlight w:val="none"/>
              </w:rPr>
            </w:pPr>
            <w:r>
              <w:rPr>
                <w:rFonts w:hint="eastAsia" w:ascii="宋体" w:hAnsi="宋体"/>
                <w:color w:val="auto"/>
                <w:szCs w:val="21"/>
                <w:highlight w:val="none"/>
              </w:rPr>
              <w:t>1.根据莲都区促进分布式光伏发电产业健康有序发展的实施细则（试行）莲发改[2018]8号文件要求，投标人需满足上述文件要求且能完成项目备案及验收并网发电等流程。具有太阳能光电光伏系统供货能力的独立企业。</w:t>
            </w:r>
          </w:p>
          <w:p>
            <w:pPr>
              <w:spacing w:line="360" w:lineRule="auto"/>
              <w:rPr>
                <w:rFonts w:ascii="宋体" w:hAnsi="宋体"/>
                <w:color w:val="auto"/>
                <w:szCs w:val="21"/>
                <w:highlight w:val="none"/>
              </w:rPr>
            </w:pPr>
            <w:r>
              <w:rPr>
                <w:rFonts w:hint="eastAsia" w:ascii="宋体" w:hAnsi="宋体"/>
                <w:color w:val="auto"/>
                <w:szCs w:val="21"/>
                <w:highlight w:val="none"/>
              </w:rPr>
              <w:t>2.（①具有招标设备生产能力的制造商或其授权代理商；②法定代表人为同一人的两个及以上法人，母公司、全资子公司及其控股公司不得同时参加该项目投标；一个制造商对同一品牌同一型号的货物，仅能委托一个代理商参加投标；）；</w:t>
            </w:r>
          </w:p>
          <w:p>
            <w:pPr>
              <w:spacing w:line="360" w:lineRule="auto"/>
              <w:rPr>
                <w:rFonts w:ascii="宋体" w:hAnsi="宋体"/>
                <w:color w:val="auto"/>
                <w:szCs w:val="21"/>
                <w:highlight w:val="none"/>
              </w:rPr>
            </w:pPr>
            <w:r>
              <w:rPr>
                <w:rFonts w:hint="eastAsia" w:ascii="宋体" w:hAnsi="宋体"/>
                <w:color w:val="auto"/>
                <w:szCs w:val="21"/>
                <w:highlight w:val="none"/>
              </w:rPr>
              <w:t>3.具有健全的财务制度和依法缴纳税收的良好记录；</w:t>
            </w:r>
          </w:p>
          <w:p>
            <w:pPr>
              <w:spacing w:line="360" w:lineRule="auto"/>
              <w:rPr>
                <w:rFonts w:ascii="宋体" w:hAnsi="宋体"/>
                <w:color w:val="auto"/>
                <w:szCs w:val="21"/>
                <w:highlight w:val="none"/>
              </w:rPr>
            </w:pPr>
            <w:r>
              <w:rPr>
                <w:rFonts w:hint="eastAsia" w:ascii="宋体" w:hAnsi="宋体"/>
                <w:color w:val="auto"/>
                <w:szCs w:val="21"/>
                <w:highlight w:val="none"/>
              </w:rPr>
              <w:t>4.同时具有电力工程施工总承包叁级及以上资质 和安全生产许可证；</w:t>
            </w:r>
          </w:p>
          <w:p>
            <w:pPr>
              <w:spacing w:line="360" w:lineRule="auto"/>
              <w:rPr>
                <w:rFonts w:ascii="宋体" w:hAnsi="宋体"/>
                <w:color w:val="auto"/>
                <w:szCs w:val="21"/>
                <w:highlight w:val="none"/>
              </w:rPr>
            </w:pPr>
            <w:r>
              <w:rPr>
                <w:rFonts w:hint="eastAsia" w:ascii="宋体" w:hAnsi="宋体"/>
                <w:color w:val="auto"/>
                <w:szCs w:val="21"/>
                <w:highlight w:val="none"/>
              </w:rPr>
              <w:t>5.投标人未被“信用中国”网站（http://www.creditchina.gov.cn）和“信用中国（浙江）”网站（http://credit.zj.gov.cn）列入严重失信黑名单；</w:t>
            </w:r>
          </w:p>
          <w:p>
            <w:pPr>
              <w:spacing w:line="360" w:lineRule="auto"/>
              <w:rPr>
                <w:rFonts w:ascii="宋体" w:hAnsi="宋体"/>
                <w:color w:val="auto"/>
                <w:szCs w:val="21"/>
                <w:highlight w:val="none"/>
              </w:rPr>
            </w:pPr>
            <w:r>
              <w:rPr>
                <w:rFonts w:hint="eastAsia" w:ascii="宋体" w:hAnsi="宋体"/>
                <w:color w:val="auto"/>
                <w:szCs w:val="21"/>
                <w:highlight w:val="none"/>
              </w:rPr>
              <w:t>6.投标的屋顶光伏建设选用设备需达到国家“光伏领跑者计划”明确的技术指标或经过国家认监委批准的认证机构认证且达标的产品。</w:t>
            </w:r>
          </w:p>
          <w:p>
            <w:pPr>
              <w:spacing w:line="360" w:lineRule="auto"/>
              <w:rPr>
                <w:rFonts w:ascii="宋体" w:hAnsi="宋体"/>
                <w:color w:val="auto"/>
                <w:szCs w:val="21"/>
                <w:highlight w:val="none"/>
              </w:rPr>
            </w:pPr>
            <w:r>
              <w:rPr>
                <w:rFonts w:hint="eastAsia" w:ascii="宋体" w:hAnsi="宋体"/>
                <w:color w:val="auto"/>
                <w:szCs w:val="21"/>
                <w:highlight w:val="none"/>
              </w:rPr>
              <w:t>7.本项目不接受联合体投标。</w:t>
            </w:r>
          </w:p>
          <w:p>
            <w:pPr>
              <w:spacing w:line="360" w:lineRule="auto"/>
              <w:rPr>
                <w:rFonts w:ascii="宋体" w:hAnsi="宋体"/>
                <w:color w:val="auto"/>
                <w:szCs w:val="21"/>
                <w:highlight w:val="none"/>
              </w:rPr>
            </w:pPr>
            <w:r>
              <w:rPr>
                <w:rFonts w:hint="eastAsia" w:ascii="宋体" w:hAnsi="宋体" w:cs="宋体"/>
                <w:color w:val="auto"/>
                <w:szCs w:val="21"/>
                <w:highlight w:val="none"/>
              </w:rPr>
              <w:t>项目经理资质要求：具有机电工程专业注册建造师贰级及以上资质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41" w:type="dxa"/>
            <w:vAlign w:val="center"/>
          </w:tcPr>
          <w:p>
            <w:pPr>
              <w:spacing w:line="460" w:lineRule="exact"/>
              <w:jc w:val="center"/>
              <w:outlineLvl w:val="0"/>
              <w:rPr>
                <w:rFonts w:ascii="宋体" w:hAnsi="宋体"/>
                <w:color w:val="auto"/>
                <w:szCs w:val="21"/>
                <w:highlight w:val="none"/>
              </w:rPr>
            </w:pPr>
            <w:r>
              <w:rPr>
                <w:rFonts w:hint="eastAsia" w:ascii="宋体" w:hAnsi="宋体"/>
                <w:color w:val="auto"/>
                <w:szCs w:val="21"/>
                <w:highlight w:val="none"/>
              </w:rPr>
              <w:t>4</w:t>
            </w:r>
          </w:p>
        </w:tc>
        <w:tc>
          <w:tcPr>
            <w:tcW w:w="8331" w:type="dxa"/>
            <w:gridSpan w:val="2"/>
            <w:vAlign w:val="center"/>
          </w:tcPr>
          <w:p>
            <w:pPr>
              <w:pStyle w:val="25"/>
              <w:spacing w:line="360" w:lineRule="auto"/>
              <w:rPr>
                <w:color w:val="auto"/>
                <w:szCs w:val="21"/>
                <w:highlight w:val="none"/>
              </w:rPr>
            </w:pPr>
            <w:r>
              <w:rPr>
                <w:color w:val="auto"/>
                <w:szCs w:val="21"/>
                <w:highlight w:val="none"/>
              </w:rPr>
              <w:t>投标保证金数额：</w:t>
            </w:r>
            <w:r>
              <w:rPr>
                <w:rFonts w:hint="eastAsia"/>
                <w:color w:val="auto"/>
                <w:szCs w:val="21"/>
                <w:highlight w:val="none"/>
                <w:u w:val="single"/>
              </w:rPr>
              <w:t xml:space="preserve"> </w:t>
            </w:r>
            <w:r>
              <w:rPr>
                <w:rFonts w:hint="eastAsia"/>
                <w:b/>
                <w:color w:val="auto"/>
                <w:szCs w:val="21"/>
                <w:highlight w:val="none"/>
                <w:u w:val="single"/>
              </w:rPr>
              <w:t xml:space="preserve">人民币叁万元整     </w:t>
            </w:r>
            <w:r>
              <w:rPr>
                <w:color w:val="auto"/>
                <w:szCs w:val="21"/>
                <w:highlight w:val="none"/>
              </w:rPr>
              <w:t xml:space="preserve">。  </w:t>
            </w:r>
          </w:p>
          <w:p>
            <w:pPr>
              <w:spacing w:line="360" w:lineRule="auto"/>
              <w:outlineLvl w:val="0"/>
              <w:rPr>
                <w:color w:val="auto"/>
                <w:szCs w:val="21"/>
                <w:highlight w:val="none"/>
              </w:rPr>
            </w:pPr>
            <w:r>
              <w:rPr>
                <w:rFonts w:hint="eastAsia"/>
                <w:color w:val="auto"/>
                <w:szCs w:val="21"/>
                <w:highlight w:val="none"/>
              </w:rPr>
              <w:t>投标保证金提交时间：应在开标截止时间前到帐。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41" w:type="dxa"/>
            <w:vAlign w:val="center"/>
          </w:tcPr>
          <w:p>
            <w:pPr>
              <w:spacing w:line="460" w:lineRule="exact"/>
              <w:jc w:val="center"/>
              <w:outlineLvl w:val="0"/>
              <w:rPr>
                <w:rFonts w:ascii="宋体" w:hAnsi="宋体"/>
                <w:color w:val="auto"/>
                <w:szCs w:val="21"/>
                <w:highlight w:val="none"/>
              </w:rPr>
            </w:pPr>
            <w:r>
              <w:rPr>
                <w:rFonts w:hint="eastAsia" w:ascii="宋体" w:hAnsi="宋体"/>
                <w:color w:val="auto"/>
                <w:szCs w:val="21"/>
                <w:highlight w:val="none"/>
              </w:rPr>
              <w:t>5</w:t>
            </w:r>
          </w:p>
        </w:tc>
        <w:tc>
          <w:tcPr>
            <w:tcW w:w="8331" w:type="dxa"/>
            <w:gridSpan w:val="2"/>
            <w:vAlign w:val="center"/>
          </w:tcPr>
          <w:p>
            <w:pPr>
              <w:spacing w:line="360" w:lineRule="auto"/>
              <w:outlineLvl w:val="0"/>
              <w:rPr>
                <w:color w:val="auto"/>
                <w:szCs w:val="21"/>
                <w:highlight w:val="none"/>
              </w:rPr>
            </w:pPr>
            <w:r>
              <w:rPr>
                <w:rFonts w:hint="eastAsia"/>
                <w:color w:val="auto"/>
                <w:szCs w:val="21"/>
                <w:highlight w:val="none"/>
              </w:rPr>
              <w:t>招标文件发售价格：</w:t>
            </w:r>
            <w:r>
              <w:rPr>
                <w:rFonts w:hint="eastAsia"/>
                <w:color w:val="auto"/>
                <w:szCs w:val="21"/>
                <w:highlight w:val="none"/>
                <w:u w:val="single"/>
              </w:rPr>
              <w:t>500</w:t>
            </w:r>
            <w:r>
              <w:rPr>
                <w:rFonts w:hint="eastAsia"/>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41" w:type="dxa"/>
            <w:vAlign w:val="center"/>
          </w:tcPr>
          <w:p>
            <w:pPr>
              <w:spacing w:line="460" w:lineRule="exact"/>
              <w:jc w:val="center"/>
              <w:outlineLvl w:val="0"/>
              <w:rPr>
                <w:rFonts w:ascii="宋体" w:hAnsi="宋体"/>
                <w:color w:val="auto"/>
                <w:szCs w:val="21"/>
                <w:highlight w:val="none"/>
              </w:rPr>
            </w:pPr>
            <w:r>
              <w:rPr>
                <w:rFonts w:hint="eastAsia" w:ascii="宋体" w:hAnsi="宋体"/>
                <w:color w:val="auto"/>
                <w:szCs w:val="21"/>
                <w:highlight w:val="none"/>
              </w:rPr>
              <w:t>6</w:t>
            </w:r>
          </w:p>
        </w:tc>
        <w:tc>
          <w:tcPr>
            <w:tcW w:w="8331" w:type="dxa"/>
            <w:gridSpan w:val="2"/>
            <w:vAlign w:val="center"/>
          </w:tcPr>
          <w:p>
            <w:pPr>
              <w:spacing w:line="360" w:lineRule="auto"/>
              <w:outlineLvl w:val="0"/>
              <w:rPr>
                <w:rFonts w:ascii="宋体" w:hAnsi="宋体"/>
                <w:color w:val="auto"/>
                <w:szCs w:val="21"/>
                <w:highlight w:val="none"/>
              </w:rPr>
            </w:pPr>
            <w:r>
              <w:rPr>
                <w:rFonts w:hint="eastAsia" w:ascii="宋体" w:hAnsi="宋体"/>
                <w:color w:val="auto"/>
                <w:szCs w:val="21"/>
                <w:highlight w:val="none"/>
              </w:rPr>
              <w:t>投标有效期：90天（从投标截止之日算起）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1" w:type="dxa"/>
            <w:vAlign w:val="center"/>
          </w:tcPr>
          <w:p>
            <w:pPr>
              <w:spacing w:line="460" w:lineRule="exact"/>
              <w:jc w:val="center"/>
              <w:outlineLvl w:val="0"/>
              <w:rPr>
                <w:rFonts w:ascii="宋体" w:hAnsi="宋体"/>
                <w:color w:val="auto"/>
                <w:szCs w:val="21"/>
                <w:highlight w:val="none"/>
              </w:rPr>
            </w:pPr>
            <w:r>
              <w:rPr>
                <w:rFonts w:hint="eastAsia" w:ascii="宋体" w:hAnsi="宋体"/>
                <w:color w:val="auto"/>
                <w:szCs w:val="21"/>
                <w:highlight w:val="none"/>
              </w:rPr>
              <w:t>7</w:t>
            </w:r>
          </w:p>
        </w:tc>
        <w:tc>
          <w:tcPr>
            <w:tcW w:w="8331" w:type="dxa"/>
            <w:gridSpan w:val="2"/>
            <w:vAlign w:val="center"/>
          </w:tcPr>
          <w:p>
            <w:pPr>
              <w:spacing w:line="360" w:lineRule="auto"/>
              <w:rPr>
                <w:rFonts w:hAnsi="宋体"/>
                <w:color w:val="auto"/>
                <w:szCs w:val="21"/>
                <w:highlight w:val="none"/>
              </w:rPr>
            </w:pPr>
            <w:r>
              <w:rPr>
                <w:rFonts w:hint="eastAsia" w:hAnsi="宋体"/>
                <w:color w:val="auto"/>
                <w:szCs w:val="21"/>
                <w:highlight w:val="none"/>
              </w:rPr>
              <w:t>标前会议时间：</w:t>
            </w:r>
            <w:r>
              <w:rPr>
                <w:rStyle w:val="86"/>
                <w:rFonts w:hint="eastAsia"/>
                <w:color w:val="auto"/>
                <w:szCs w:val="21"/>
                <w:highlight w:val="none"/>
              </w:rPr>
              <w:t>本次招标采用书面答疑形式，</w:t>
            </w:r>
            <w:r>
              <w:rPr>
                <w:rFonts w:hint="eastAsia"/>
                <w:color w:val="auto"/>
                <w:szCs w:val="21"/>
                <w:highlight w:val="none"/>
              </w:rPr>
              <w:t>任何要求对招标文件进行澄清的投标人，均应在投标截止时间5日前以书面形式传真（或直接递交）至浙江建航工程咨询有限公司（电话：0578-2139703，传真：0578-2152625）。</w:t>
            </w:r>
            <w:r>
              <w:rPr>
                <w:rFonts w:hint="eastAsia" w:hAnsi="宋体"/>
                <w:color w:val="auto"/>
                <w:szCs w:val="21"/>
                <w:highlight w:val="none"/>
              </w:rPr>
              <w:t>现场察勘：各投标单位可根据自身情况自行踏勘</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41" w:type="dxa"/>
            <w:vAlign w:val="center"/>
          </w:tcPr>
          <w:p>
            <w:pPr>
              <w:spacing w:line="460" w:lineRule="exact"/>
              <w:jc w:val="center"/>
              <w:outlineLvl w:val="0"/>
              <w:rPr>
                <w:rFonts w:ascii="宋体" w:hAnsi="宋体"/>
                <w:color w:val="auto"/>
                <w:szCs w:val="21"/>
                <w:highlight w:val="none"/>
              </w:rPr>
            </w:pPr>
            <w:r>
              <w:rPr>
                <w:rFonts w:hint="eastAsia" w:ascii="宋体" w:hAnsi="宋体"/>
                <w:color w:val="auto"/>
                <w:szCs w:val="21"/>
                <w:highlight w:val="none"/>
              </w:rPr>
              <w:t>9</w:t>
            </w:r>
          </w:p>
        </w:tc>
        <w:tc>
          <w:tcPr>
            <w:tcW w:w="8331" w:type="dxa"/>
            <w:gridSpan w:val="2"/>
            <w:vAlign w:val="center"/>
          </w:tcPr>
          <w:p>
            <w:pPr>
              <w:spacing w:line="360" w:lineRule="auto"/>
              <w:outlineLvl w:val="0"/>
              <w:rPr>
                <w:rFonts w:ascii="宋体" w:hAnsi="宋体"/>
                <w:color w:val="auto"/>
                <w:szCs w:val="21"/>
                <w:highlight w:val="none"/>
              </w:rPr>
            </w:pPr>
            <w:r>
              <w:rPr>
                <w:rFonts w:hint="eastAsia" w:ascii="宋体" w:hAnsi="宋体"/>
                <w:color w:val="auto"/>
                <w:szCs w:val="21"/>
                <w:highlight w:val="none"/>
              </w:rPr>
              <w:t>投标文件份数：正本1 份，副本3份；电子光盘一份（经签字盖章的投标文件正本扫描件一份）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741" w:type="dxa"/>
            <w:vAlign w:val="center"/>
          </w:tcPr>
          <w:p>
            <w:pPr>
              <w:spacing w:line="460" w:lineRule="exact"/>
              <w:jc w:val="center"/>
              <w:outlineLvl w:val="0"/>
              <w:rPr>
                <w:rFonts w:ascii="宋体" w:hAnsi="宋体"/>
                <w:color w:val="auto"/>
                <w:szCs w:val="21"/>
                <w:highlight w:val="none"/>
              </w:rPr>
            </w:pPr>
            <w:r>
              <w:rPr>
                <w:rFonts w:hint="eastAsia" w:ascii="宋体" w:hAnsi="宋体"/>
                <w:color w:val="auto"/>
                <w:szCs w:val="21"/>
                <w:highlight w:val="none"/>
              </w:rPr>
              <w:t>10</w:t>
            </w:r>
          </w:p>
        </w:tc>
        <w:tc>
          <w:tcPr>
            <w:tcW w:w="8331" w:type="dxa"/>
            <w:gridSpan w:val="2"/>
          </w:tcPr>
          <w:p>
            <w:pPr>
              <w:spacing w:line="360" w:lineRule="auto"/>
              <w:rPr>
                <w:rFonts w:ascii="宋体" w:hAnsi="宋体"/>
                <w:color w:val="auto"/>
                <w:szCs w:val="21"/>
                <w:highlight w:val="none"/>
              </w:rPr>
            </w:pPr>
            <w:r>
              <w:rPr>
                <w:rFonts w:hint="eastAsia" w:ascii="宋体" w:hAnsi="宋体"/>
                <w:color w:val="auto"/>
                <w:szCs w:val="21"/>
                <w:highlight w:val="none"/>
              </w:rPr>
              <w:t>投标截止时间：</w:t>
            </w:r>
            <w:r>
              <w:rPr>
                <w:rFonts w:hint="eastAsia" w:ascii="宋体" w:hAnsi="宋体" w:cs="Arial"/>
                <w:color w:val="auto"/>
                <w:szCs w:val="21"/>
                <w:highlight w:val="none"/>
              </w:rPr>
              <w:t>2021年9月14日15时00分整</w:t>
            </w:r>
          </w:p>
          <w:p>
            <w:pPr>
              <w:spacing w:line="400" w:lineRule="exact"/>
              <w:rPr>
                <w:rFonts w:ascii="宋体" w:hAnsi="宋体"/>
                <w:color w:val="auto"/>
                <w:szCs w:val="21"/>
                <w:highlight w:val="none"/>
              </w:rPr>
            </w:pPr>
            <w:r>
              <w:rPr>
                <w:color w:val="auto"/>
                <w:szCs w:val="21"/>
                <w:highlight w:val="none"/>
              </w:rPr>
              <w:t>投标地点：</w:t>
            </w:r>
            <w:r>
              <w:rPr>
                <w:rFonts w:hint="eastAsia" w:ascii="宋体" w:hAnsi="宋体" w:cs="Arial"/>
                <w:b/>
                <w:bCs/>
                <w:color w:val="auto"/>
                <w:szCs w:val="21"/>
                <w:highlight w:val="none"/>
              </w:rPr>
              <w:t>丽水市万丰北路72号金贸大厦12楼1205会议室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741" w:type="dxa"/>
            <w:vAlign w:val="center"/>
          </w:tcPr>
          <w:p>
            <w:pPr>
              <w:spacing w:line="460" w:lineRule="exact"/>
              <w:jc w:val="center"/>
              <w:outlineLvl w:val="0"/>
              <w:rPr>
                <w:rFonts w:ascii="宋体" w:hAnsi="宋体"/>
                <w:color w:val="auto"/>
                <w:szCs w:val="21"/>
                <w:highlight w:val="none"/>
              </w:rPr>
            </w:pPr>
            <w:r>
              <w:rPr>
                <w:rFonts w:hint="eastAsia" w:ascii="宋体" w:hAnsi="宋体"/>
                <w:color w:val="auto"/>
                <w:szCs w:val="21"/>
                <w:highlight w:val="none"/>
              </w:rPr>
              <w:t>11</w:t>
            </w:r>
          </w:p>
        </w:tc>
        <w:tc>
          <w:tcPr>
            <w:tcW w:w="8331" w:type="dxa"/>
            <w:gridSpan w:val="2"/>
          </w:tcPr>
          <w:p>
            <w:pPr>
              <w:spacing w:line="360" w:lineRule="auto"/>
              <w:rPr>
                <w:rFonts w:ascii="宋体" w:hAnsi="宋体" w:cs="Arial"/>
                <w:b/>
                <w:bCs/>
                <w:color w:val="auto"/>
                <w:szCs w:val="21"/>
                <w:highlight w:val="none"/>
              </w:rPr>
            </w:pPr>
            <w:r>
              <w:rPr>
                <w:rFonts w:hint="eastAsia" w:ascii="宋体" w:hAnsi="宋体"/>
                <w:color w:val="auto"/>
                <w:szCs w:val="21"/>
                <w:highlight w:val="none"/>
              </w:rPr>
              <w:t>开标时间：</w:t>
            </w:r>
            <w:r>
              <w:rPr>
                <w:rFonts w:hint="eastAsia" w:ascii="宋体" w:hAnsi="宋体" w:cs="Arial"/>
                <w:b/>
                <w:bCs/>
                <w:color w:val="auto"/>
                <w:szCs w:val="21"/>
                <w:highlight w:val="none"/>
              </w:rPr>
              <w:t>同投标截止时间</w:t>
            </w:r>
          </w:p>
          <w:p>
            <w:pPr>
              <w:spacing w:line="360" w:lineRule="auto"/>
              <w:outlineLvl w:val="0"/>
              <w:rPr>
                <w:color w:val="auto"/>
                <w:szCs w:val="21"/>
                <w:highlight w:val="none"/>
              </w:rPr>
            </w:pPr>
            <w:r>
              <w:rPr>
                <w:color w:val="auto"/>
                <w:szCs w:val="21"/>
                <w:highlight w:val="none"/>
              </w:rPr>
              <w:t>开标地点：</w:t>
            </w:r>
            <w:r>
              <w:rPr>
                <w:rFonts w:hint="eastAsia" w:ascii="宋体" w:hAnsi="宋体" w:cs="Arial"/>
                <w:b/>
                <w:bCs/>
                <w:color w:val="auto"/>
                <w:szCs w:val="21"/>
                <w:highlight w:val="none"/>
              </w:rPr>
              <w:t>丽水市万丰北路72号金贸大厦12楼1205会议室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41" w:type="dxa"/>
            <w:vAlign w:val="center"/>
          </w:tcPr>
          <w:p>
            <w:pPr>
              <w:spacing w:line="460" w:lineRule="exact"/>
              <w:jc w:val="center"/>
              <w:outlineLvl w:val="0"/>
              <w:rPr>
                <w:rFonts w:ascii="宋体" w:hAnsi="宋体"/>
                <w:color w:val="auto"/>
                <w:szCs w:val="21"/>
                <w:highlight w:val="none"/>
              </w:rPr>
            </w:pPr>
            <w:r>
              <w:rPr>
                <w:rFonts w:hint="eastAsia" w:ascii="宋体" w:hAnsi="宋体"/>
                <w:color w:val="auto"/>
                <w:szCs w:val="21"/>
                <w:highlight w:val="none"/>
              </w:rPr>
              <w:t>12</w:t>
            </w:r>
          </w:p>
        </w:tc>
        <w:tc>
          <w:tcPr>
            <w:tcW w:w="8331" w:type="dxa"/>
            <w:gridSpan w:val="2"/>
            <w:vAlign w:val="center"/>
          </w:tcPr>
          <w:p>
            <w:pPr>
              <w:spacing w:line="360" w:lineRule="auto"/>
              <w:outlineLvl w:val="0"/>
              <w:rPr>
                <w:color w:val="auto"/>
                <w:szCs w:val="21"/>
                <w:highlight w:val="none"/>
              </w:rPr>
            </w:pPr>
            <w:r>
              <w:rPr>
                <w:rFonts w:hint="eastAsia"/>
                <w:color w:val="auto"/>
                <w:szCs w:val="21"/>
                <w:highlight w:val="none"/>
              </w:rPr>
              <w:t>履约保证金：中标价的</w:t>
            </w:r>
            <w:r>
              <w:rPr>
                <w:color w:val="auto"/>
                <w:szCs w:val="21"/>
                <w:highlight w:val="none"/>
              </w:rPr>
              <w:t>2</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41" w:type="dxa"/>
            <w:vAlign w:val="center"/>
          </w:tcPr>
          <w:p>
            <w:pPr>
              <w:spacing w:line="460" w:lineRule="exact"/>
              <w:jc w:val="center"/>
              <w:outlineLvl w:val="0"/>
              <w:rPr>
                <w:rFonts w:ascii="宋体" w:hAnsi="宋体"/>
                <w:color w:val="auto"/>
                <w:szCs w:val="21"/>
                <w:highlight w:val="none"/>
              </w:rPr>
            </w:pPr>
            <w:r>
              <w:rPr>
                <w:rFonts w:hint="eastAsia" w:ascii="宋体" w:hAnsi="宋体"/>
                <w:color w:val="auto"/>
                <w:szCs w:val="21"/>
                <w:highlight w:val="none"/>
              </w:rPr>
              <w:t>13</w:t>
            </w:r>
          </w:p>
        </w:tc>
        <w:tc>
          <w:tcPr>
            <w:tcW w:w="8331" w:type="dxa"/>
            <w:gridSpan w:val="2"/>
            <w:vAlign w:val="center"/>
          </w:tcPr>
          <w:p>
            <w:pPr>
              <w:spacing w:line="360" w:lineRule="auto"/>
              <w:outlineLvl w:val="0"/>
              <w:rPr>
                <w:rFonts w:ascii="宋体" w:hAnsi="宋体"/>
                <w:color w:val="auto"/>
                <w:szCs w:val="21"/>
                <w:highlight w:val="none"/>
              </w:rPr>
            </w:pPr>
            <w:r>
              <w:rPr>
                <w:rFonts w:hint="eastAsia" w:hAnsi="宋体"/>
                <w:b/>
                <w:bCs/>
                <w:color w:val="auto"/>
                <w:szCs w:val="21"/>
                <w:highlight w:val="none"/>
              </w:rPr>
              <w:t>投标最高限价：招标单位设置上限价，上限单价为</w:t>
            </w:r>
            <w:r>
              <w:rPr>
                <w:rFonts w:ascii="宋体"/>
                <w:b/>
                <w:bCs/>
                <w:color w:val="auto"/>
                <w:highlight w:val="none"/>
              </w:rPr>
              <w:t>5.</w:t>
            </w:r>
            <w:r>
              <w:rPr>
                <w:rFonts w:hint="eastAsia" w:ascii="宋体"/>
                <w:b/>
                <w:bCs/>
                <w:color w:val="auto"/>
                <w:highlight w:val="none"/>
              </w:rPr>
              <w:t>3元/</w:t>
            </w:r>
            <w:r>
              <w:rPr>
                <w:rFonts w:ascii="宋体"/>
                <w:b/>
                <w:bCs/>
                <w:color w:val="auto"/>
                <w:highlight w:val="none"/>
              </w:rPr>
              <w:t>W</w:t>
            </w:r>
            <w:r>
              <w:rPr>
                <w:rFonts w:hint="eastAsia" w:ascii="宋体"/>
                <w:b/>
                <w:bCs/>
                <w:color w:val="auto"/>
                <w:highlight w:val="none"/>
              </w:rPr>
              <w:t>（含设计、</w:t>
            </w:r>
            <w:r>
              <w:rPr>
                <w:rFonts w:hint="eastAsia" w:hAnsi="宋体"/>
                <w:b/>
                <w:bCs/>
                <w:color w:val="auto"/>
                <w:szCs w:val="21"/>
                <w:highlight w:val="none"/>
              </w:rPr>
              <w:t>设备材料采购供应、设备基础工程（含墙地面修复等）、安装、后台监控、系统调试、试运行直至交付生产）</w:t>
            </w:r>
            <w:r>
              <w:rPr>
                <w:rFonts w:hint="eastAsia" w:ascii="宋体" w:hAnsi="宋体"/>
                <w:b/>
                <w:bCs/>
                <w:color w:val="auto"/>
                <w:szCs w:val="21"/>
                <w:highlight w:val="none"/>
              </w:rPr>
              <w:t>，</w:t>
            </w:r>
            <w:r>
              <w:rPr>
                <w:rFonts w:hint="eastAsia" w:hAnsi="宋体"/>
                <w:b/>
                <w:bCs/>
                <w:color w:val="auto"/>
                <w:szCs w:val="21"/>
                <w:highlight w:val="none"/>
              </w:rPr>
              <w:t>凡投标报价</w:t>
            </w:r>
            <w:r>
              <w:rPr>
                <w:rFonts w:hint="eastAsia" w:hAnsi="宋体"/>
                <w:b/>
                <w:color w:val="auto"/>
                <w:szCs w:val="21"/>
                <w:highlight w:val="none"/>
              </w:rPr>
              <w:t>大于或等于</w:t>
            </w:r>
            <w:r>
              <w:rPr>
                <w:rFonts w:hint="eastAsia" w:hAnsi="宋体"/>
                <w:b/>
                <w:bCs/>
                <w:color w:val="auto"/>
                <w:szCs w:val="21"/>
                <w:highlight w:val="none"/>
              </w:rPr>
              <w:t>此限价的作无效标处理。其中丽水九里加油站的苗木修剪费用需投标人自行考虑。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741" w:type="dxa"/>
            <w:vAlign w:val="center"/>
          </w:tcPr>
          <w:p>
            <w:pPr>
              <w:spacing w:line="460" w:lineRule="exact"/>
              <w:jc w:val="center"/>
              <w:outlineLvl w:val="0"/>
              <w:rPr>
                <w:rFonts w:ascii="宋体" w:hAnsi="宋体"/>
                <w:color w:val="auto"/>
                <w:szCs w:val="21"/>
                <w:highlight w:val="none"/>
              </w:rPr>
            </w:pPr>
            <w:r>
              <w:rPr>
                <w:rFonts w:hint="eastAsia" w:ascii="宋体" w:hAnsi="宋体"/>
                <w:color w:val="auto"/>
                <w:szCs w:val="21"/>
                <w:highlight w:val="none"/>
              </w:rPr>
              <w:t>14</w:t>
            </w:r>
          </w:p>
        </w:tc>
        <w:tc>
          <w:tcPr>
            <w:tcW w:w="8331" w:type="dxa"/>
            <w:gridSpan w:val="2"/>
            <w:vAlign w:val="center"/>
          </w:tcPr>
          <w:p>
            <w:pPr>
              <w:spacing w:line="360" w:lineRule="auto"/>
              <w:outlineLvl w:val="0"/>
              <w:rPr>
                <w:rFonts w:ascii="宋体" w:hAnsi="宋体"/>
                <w:color w:val="auto"/>
                <w:szCs w:val="21"/>
                <w:highlight w:val="none"/>
              </w:rPr>
            </w:pPr>
            <w:r>
              <w:rPr>
                <w:rFonts w:hint="eastAsia" w:ascii="宋体" w:hAnsi="宋体"/>
                <w:color w:val="auto"/>
                <w:szCs w:val="21"/>
                <w:highlight w:val="none"/>
              </w:rPr>
              <w:t>特别说明：若发现招标文件及评标办法中存在含糊不清、相互矛盾、多种含义以及歧视性不公正条款或违法违规等内容时，</w:t>
            </w:r>
            <w:r>
              <w:rPr>
                <w:rFonts w:hint="eastAsia" w:hAnsi="宋体"/>
                <w:bCs/>
                <w:color w:val="auto"/>
                <w:highlight w:val="none"/>
              </w:rPr>
              <w:t>请在</w:t>
            </w:r>
            <w:r>
              <w:rPr>
                <w:rFonts w:hint="eastAsia" w:hAnsi="宋体"/>
                <w:bCs/>
                <w:color w:val="auto"/>
                <w:szCs w:val="21"/>
                <w:highlight w:val="none"/>
              </w:rPr>
              <w:t>投标截止日3日前</w:t>
            </w:r>
            <w:r>
              <w:rPr>
                <w:rFonts w:hint="eastAsia" w:ascii="宋体" w:hAnsi="宋体"/>
                <w:color w:val="auto"/>
                <w:szCs w:val="21"/>
                <w:highlight w:val="none"/>
              </w:rPr>
              <w:t>向招标人、招标代理单位或有关招标投标管理部门书面反映，逾期不得再对招标文件的条款提出质疑。</w:t>
            </w:r>
          </w:p>
          <w:p>
            <w:pPr>
              <w:spacing w:line="360" w:lineRule="auto"/>
              <w:outlineLvl w:val="0"/>
              <w:rPr>
                <w:rFonts w:ascii="宋体" w:hAnsi="宋体"/>
                <w:color w:val="auto"/>
                <w:szCs w:val="21"/>
                <w:highlight w:val="none"/>
              </w:rPr>
            </w:pPr>
            <w:r>
              <w:rPr>
                <w:rFonts w:hint="eastAsia" w:ascii="宋体" w:hAnsi="宋体"/>
                <w:color w:val="auto"/>
                <w:szCs w:val="21"/>
                <w:highlight w:val="none"/>
              </w:rPr>
              <w:t>如招标文件其余内容与前附表不一致时以前附表为准。</w:t>
            </w:r>
          </w:p>
        </w:tc>
      </w:tr>
    </w:tbl>
    <w:p>
      <w:pPr>
        <w:pStyle w:val="2"/>
        <w:rPr>
          <w:color w:val="auto"/>
          <w:highlight w:val="none"/>
        </w:rPr>
      </w:pPr>
      <w:bookmarkStart w:id="3" w:name="_Toc287708702"/>
    </w:p>
    <w:p>
      <w:pPr>
        <w:jc w:val="center"/>
        <w:rPr>
          <w:b/>
          <w:bCs/>
          <w:color w:val="auto"/>
          <w:sz w:val="36"/>
          <w:szCs w:val="36"/>
          <w:highlight w:val="none"/>
        </w:rPr>
      </w:pPr>
      <w:r>
        <w:rPr>
          <w:color w:val="auto"/>
          <w:highlight w:val="none"/>
        </w:rPr>
        <w:br w:type="page"/>
      </w:r>
      <w:r>
        <w:rPr>
          <w:rFonts w:hint="eastAsia"/>
          <w:b/>
          <w:bCs/>
          <w:color w:val="auto"/>
          <w:sz w:val="36"/>
          <w:szCs w:val="36"/>
          <w:highlight w:val="none"/>
        </w:rPr>
        <w:t>第一章    投标须知</w:t>
      </w:r>
      <w:bookmarkEnd w:id="3"/>
    </w:p>
    <w:p>
      <w:pPr>
        <w:pStyle w:val="3"/>
        <w:spacing w:before="0" w:after="0" w:line="360" w:lineRule="auto"/>
        <w:rPr>
          <w:color w:val="auto"/>
          <w:highlight w:val="none"/>
        </w:rPr>
      </w:pPr>
      <w:bookmarkStart w:id="4" w:name="_Toc287708703"/>
      <w:r>
        <w:rPr>
          <w:rFonts w:hint="eastAsia"/>
          <w:color w:val="auto"/>
          <w:highlight w:val="none"/>
        </w:rPr>
        <w:t>一、总   则</w:t>
      </w:r>
      <w:bookmarkEnd w:id="4"/>
    </w:p>
    <w:p>
      <w:pPr>
        <w:spacing w:line="360" w:lineRule="auto"/>
        <w:ind w:firstLine="482" w:firstLineChars="200"/>
        <w:outlineLvl w:val="0"/>
        <w:rPr>
          <w:b/>
          <w:color w:val="auto"/>
          <w:sz w:val="24"/>
          <w:szCs w:val="20"/>
          <w:highlight w:val="none"/>
        </w:rPr>
      </w:pPr>
      <w:r>
        <w:rPr>
          <w:rFonts w:hint="eastAsia"/>
          <w:b/>
          <w:color w:val="auto"/>
          <w:sz w:val="24"/>
          <w:szCs w:val="20"/>
          <w:highlight w:val="none"/>
        </w:rPr>
        <w:t>（一）工程说明</w:t>
      </w:r>
    </w:p>
    <w:p>
      <w:pPr>
        <w:spacing w:line="360" w:lineRule="auto"/>
        <w:ind w:firstLine="420" w:firstLineChars="200"/>
        <w:outlineLvl w:val="0"/>
        <w:rPr>
          <w:color w:val="auto"/>
          <w:szCs w:val="21"/>
          <w:highlight w:val="none"/>
        </w:rPr>
      </w:pPr>
      <w:r>
        <w:rPr>
          <w:rFonts w:hint="eastAsia"/>
          <w:color w:val="auto"/>
          <w:szCs w:val="21"/>
          <w:highlight w:val="none"/>
        </w:rPr>
        <w:t>本工程说明详见前附表。</w:t>
      </w:r>
    </w:p>
    <w:p>
      <w:pPr>
        <w:numPr>
          <w:ilvl w:val="0"/>
          <w:numId w:val="14"/>
        </w:numPr>
        <w:spacing w:line="360" w:lineRule="auto"/>
        <w:ind w:firstLine="482" w:firstLineChars="200"/>
        <w:outlineLvl w:val="0"/>
        <w:rPr>
          <w:b/>
          <w:color w:val="auto"/>
          <w:sz w:val="24"/>
          <w:szCs w:val="20"/>
          <w:highlight w:val="none"/>
        </w:rPr>
      </w:pPr>
      <w:r>
        <w:rPr>
          <w:rFonts w:hint="eastAsia"/>
          <w:b/>
          <w:color w:val="auto"/>
          <w:sz w:val="24"/>
          <w:szCs w:val="20"/>
          <w:highlight w:val="none"/>
        </w:rPr>
        <w:t>招标范围</w:t>
      </w:r>
    </w:p>
    <w:p>
      <w:pPr>
        <w:spacing w:line="360" w:lineRule="auto"/>
        <w:ind w:firstLine="422" w:firstLineChars="200"/>
        <w:outlineLvl w:val="0"/>
        <w:rPr>
          <w:b/>
          <w:bCs/>
          <w:color w:val="auto"/>
          <w:szCs w:val="21"/>
          <w:highlight w:val="none"/>
        </w:rPr>
      </w:pPr>
      <w:r>
        <w:rPr>
          <w:rFonts w:hint="eastAsia"/>
          <w:b/>
          <w:bCs/>
          <w:color w:val="auto"/>
          <w:szCs w:val="21"/>
          <w:highlight w:val="none"/>
        </w:rPr>
        <w:t>1、工程承包范围</w:t>
      </w:r>
    </w:p>
    <w:p>
      <w:pPr>
        <w:spacing w:line="360" w:lineRule="auto"/>
        <w:ind w:firstLine="420" w:firstLineChars="200"/>
        <w:outlineLvl w:val="0"/>
        <w:rPr>
          <w:color w:val="auto"/>
          <w:szCs w:val="21"/>
          <w:highlight w:val="none"/>
        </w:rPr>
      </w:pPr>
      <w:r>
        <w:rPr>
          <w:rFonts w:hint="eastAsia"/>
          <w:color w:val="auto"/>
          <w:szCs w:val="21"/>
          <w:highlight w:val="none"/>
        </w:rPr>
        <w:t>中石化丽水7座分布式光伏发电站项目</w:t>
      </w:r>
      <w:r>
        <w:rPr>
          <w:rFonts w:hint="eastAsia" w:ascii="宋体" w:hAnsi="宋体" w:cs="宋体"/>
          <w:color w:val="auto"/>
          <w:highlight w:val="none"/>
        </w:rPr>
        <w:t>（包括三岩寺加油站、城南加油站、城北加油站、七百秧加油站、富岭加油站、风化加油站、九里加油站）。</w:t>
      </w:r>
      <w:r>
        <w:rPr>
          <w:color w:val="auto"/>
          <w:szCs w:val="21"/>
          <w:highlight w:val="none"/>
        </w:rPr>
        <w:t>招标范围</w:t>
      </w:r>
      <w:r>
        <w:rPr>
          <w:rFonts w:hint="eastAsia"/>
          <w:color w:val="auto"/>
          <w:szCs w:val="21"/>
          <w:highlight w:val="none"/>
        </w:rPr>
        <w:t>包括但不限于：完成从光伏组件排布至正常并网发电的全部设计(设计过程中需进行建筑物屋面安全性复核、现场实地测量)以及设备材料采购供应、安装、后台监控、系统调试、试运行直至交付生产，以及在质量保修期内的消缺等全过程的工作，在满足合同其它责任和义务的同时使本项目达到相关验收标准的要求；项目实施过程中要求提供设备的试验、运行、维护手册；建设期整个项目保险（包括建筑、安装、设备、总承包方人员及第三方人员）；确保设备安装后建筑物的安全性，并配合业主办理并网相关手续。</w:t>
      </w:r>
    </w:p>
    <w:p>
      <w:pPr>
        <w:tabs>
          <w:tab w:val="right" w:leader="dot" w:pos="9555"/>
        </w:tabs>
        <w:spacing w:line="360" w:lineRule="auto"/>
        <w:ind w:firstLine="420" w:firstLineChars="200"/>
        <w:jc w:val="left"/>
        <w:rPr>
          <w:rFonts w:ascii="宋体" w:hAnsi="宋体"/>
          <w:color w:val="auto"/>
          <w:highlight w:val="none"/>
        </w:rPr>
      </w:pPr>
      <w:r>
        <w:rPr>
          <w:rFonts w:hint="eastAsia" w:ascii="宋体" w:hAnsi="宋体"/>
          <w:color w:val="auto"/>
          <w:highlight w:val="none"/>
        </w:rPr>
        <w:t>（1）设计：光伏发电范围内的光伏、电气、水工、土建等专业的设计工作，包括但不限于屋顶复核及测绘、初步设计、施工图设计以及上述设计所涉及的各项图纸送审工作。</w:t>
      </w:r>
    </w:p>
    <w:p>
      <w:pPr>
        <w:tabs>
          <w:tab w:val="right" w:leader="dot" w:pos="9555"/>
        </w:tabs>
        <w:spacing w:line="360" w:lineRule="auto"/>
        <w:ind w:firstLine="420" w:firstLineChars="200"/>
        <w:jc w:val="left"/>
        <w:rPr>
          <w:rFonts w:ascii="宋体" w:hAnsi="宋体"/>
          <w:color w:val="auto"/>
          <w:highlight w:val="none"/>
        </w:rPr>
      </w:pPr>
      <w:r>
        <w:rPr>
          <w:rFonts w:hint="eastAsia" w:ascii="宋体" w:hAnsi="宋体"/>
          <w:color w:val="auto"/>
          <w:highlight w:val="none"/>
        </w:rPr>
        <w:t>（2）发改委备案：包含发改局申请备案请示、项目备案申请、企业投资项目备案、房屋所有权证明、项目公司相关资质文件梳理、出具解决方案（可研报告）等</w:t>
      </w:r>
    </w:p>
    <w:p>
      <w:pPr>
        <w:tabs>
          <w:tab w:val="right" w:leader="dot" w:pos="9555"/>
        </w:tabs>
        <w:spacing w:line="360" w:lineRule="auto"/>
        <w:ind w:firstLine="420" w:firstLineChars="200"/>
        <w:jc w:val="left"/>
        <w:rPr>
          <w:rFonts w:ascii="宋体" w:hAnsi="宋体"/>
          <w:color w:val="auto"/>
          <w:highlight w:val="none"/>
        </w:rPr>
      </w:pPr>
      <w:r>
        <w:rPr>
          <w:rFonts w:hint="eastAsia" w:ascii="宋体" w:hAnsi="宋体"/>
          <w:color w:val="auto"/>
          <w:highlight w:val="none"/>
        </w:rPr>
        <w:t>（2）设备：太阳能组件、组串式逆变器、屋顶支架、低压开关柜、交直流电缆、通讯及控制电缆、桥架、接入电气一次及二次设备（根据接入系统方案批复要求）、光伏监控系统以及各类辅材等所有本工程设计评审要求的设备。</w:t>
      </w:r>
    </w:p>
    <w:p>
      <w:pPr>
        <w:tabs>
          <w:tab w:val="right" w:leader="dot" w:pos="9555"/>
        </w:tabs>
        <w:spacing w:line="360" w:lineRule="auto"/>
        <w:ind w:firstLine="420" w:firstLineChars="200"/>
        <w:jc w:val="left"/>
        <w:rPr>
          <w:rFonts w:ascii="宋体" w:hAnsi="宋体"/>
          <w:color w:val="auto"/>
          <w:highlight w:val="none"/>
        </w:rPr>
      </w:pPr>
      <w:r>
        <w:rPr>
          <w:rFonts w:hint="eastAsia" w:ascii="宋体" w:hAnsi="宋体"/>
          <w:color w:val="auto"/>
          <w:highlight w:val="none"/>
        </w:rPr>
        <w:t>（3）土建、安装工程：设备基础工程（含墙地面修复等）；电缆敷设安装工程；防雷接地安装工程；电站系统设备安装工程（根据设计评审要求确定，含现场卸货、吊装、二次搬运、安全文明施工措施费等）；施工范围内的各项设备调试、试验及材料送检并提供相应报告。</w:t>
      </w:r>
      <w:r>
        <w:rPr>
          <w:rFonts w:hint="eastAsia" w:hAnsi="宋体"/>
          <w:b/>
          <w:bCs/>
          <w:color w:val="auto"/>
          <w:szCs w:val="21"/>
          <w:highlight w:val="none"/>
        </w:rPr>
        <w:t>其中丽水九里加油站的苗木修剪费用需投标人自行考虑。</w:t>
      </w:r>
    </w:p>
    <w:p>
      <w:pPr>
        <w:tabs>
          <w:tab w:val="right" w:leader="dot" w:pos="9555"/>
        </w:tabs>
        <w:spacing w:line="360" w:lineRule="auto"/>
        <w:ind w:firstLine="420" w:firstLineChars="200"/>
        <w:jc w:val="left"/>
        <w:rPr>
          <w:rFonts w:ascii="宋体" w:hAnsi="宋体"/>
          <w:color w:val="auto"/>
          <w:highlight w:val="none"/>
        </w:rPr>
      </w:pPr>
      <w:r>
        <w:rPr>
          <w:rFonts w:hint="eastAsia" w:ascii="宋体" w:hAnsi="宋体"/>
          <w:color w:val="auto"/>
          <w:highlight w:val="none"/>
        </w:rPr>
        <w:t>（4）其他：运维上人楼梯、屋顶运维通道（设置需覆盖所有屋顶电气设备）、屋顶运维永久防护措施、电气设备的标牌及安全标识的采购安装；总包管理费用；质保期内设备的质量保修及维护工作；人员培训；运行手册；专用工具；备品备件。</w:t>
      </w:r>
    </w:p>
    <w:p>
      <w:pPr>
        <w:tabs>
          <w:tab w:val="right" w:leader="dot" w:pos="9555"/>
        </w:tabs>
        <w:spacing w:line="360" w:lineRule="auto"/>
        <w:ind w:firstLine="420" w:firstLineChars="200"/>
        <w:jc w:val="left"/>
        <w:rPr>
          <w:rFonts w:ascii="宋体" w:hAnsi="宋体"/>
          <w:color w:val="auto"/>
          <w:highlight w:val="none"/>
        </w:rPr>
      </w:pPr>
      <w:r>
        <w:rPr>
          <w:rFonts w:hint="eastAsia" w:ascii="宋体" w:hAnsi="宋体"/>
          <w:color w:val="auto"/>
          <w:highlight w:val="none"/>
        </w:rPr>
        <w:t>（5）并网申请与接入系统方案：包含并网申请、制定接入系统方案、确认接入系统方案、确认接入电网意见、配合建设单位做好变压器升级工作等</w:t>
      </w:r>
    </w:p>
    <w:p>
      <w:pPr>
        <w:tabs>
          <w:tab w:val="right" w:leader="dot" w:pos="9555"/>
        </w:tabs>
        <w:spacing w:line="360" w:lineRule="auto"/>
        <w:ind w:firstLine="420" w:firstLineChars="200"/>
        <w:jc w:val="left"/>
        <w:rPr>
          <w:rFonts w:ascii="宋体" w:hAnsi="宋体"/>
          <w:color w:val="auto"/>
          <w:highlight w:val="none"/>
        </w:rPr>
      </w:pPr>
      <w:r>
        <w:rPr>
          <w:rFonts w:ascii="宋体" w:hAnsi="宋体"/>
          <w:color w:val="auto"/>
          <w:highlight w:val="none"/>
        </w:rPr>
        <w:t>（6）工程界限</w:t>
      </w:r>
    </w:p>
    <w:p>
      <w:pPr>
        <w:tabs>
          <w:tab w:val="right" w:leader="dot" w:pos="9555"/>
        </w:tabs>
        <w:spacing w:line="360" w:lineRule="auto"/>
        <w:ind w:firstLine="420" w:firstLineChars="200"/>
        <w:jc w:val="left"/>
        <w:rPr>
          <w:rFonts w:ascii="宋体" w:hAnsi="宋体"/>
          <w:color w:val="auto"/>
          <w:highlight w:val="none"/>
        </w:rPr>
      </w:pPr>
      <w:r>
        <w:rPr>
          <w:rFonts w:ascii="宋体" w:hAnsi="宋体"/>
          <w:color w:val="auto"/>
          <w:highlight w:val="none"/>
        </w:rPr>
        <w:t>本工程</w:t>
      </w:r>
      <w:r>
        <w:rPr>
          <w:rFonts w:hint="eastAsia" w:ascii="宋体" w:hAnsi="宋体"/>
          <w:color w:val="auto"/>
          <w:highlight w:val="none"/>
        </w:rPr>
        <w:t>1</w:t>
      </w:r>
      <w:r>
        <w:rPr>
          <w:rFonts w:ascii="宋体" w:hAnsi="宋体"/>
          <w:color w:val="auto"/>
          <w:highlight w:val="none"/>
        </w:rPr>
        <w:t>.出线并网系统一次设备的设计、采购、施工、调试</w:t>
      </w:r>
      <w:r>
        <w:rPr>
          <w:rFonts w:hint="eastAsia" w:ascii="宋体" w:hAnsi="宋体"/>
          <w:color w:val="auto"/>
          <w:highlight w:val="none"/>
        </w:rPr>
        <w:t>；2</w:t>
      </w:r>
      <w:r>
        <w:rPr>
          <w:rFonts w:ascii="宋体" w:hAnsi="宋体"/>
          <w:color w:val="auto"/>
          <w:highlight w:val="none"/>
        </w:rPr>
        <w:t>.继电保护及自动装置等二次系统的设计、采购、施工、调试</w:t>
      </w:r>
      <w:r>
        <w:rPr>
          <w:rFonts w:hint="eastAsia" w:ascii="宋体" w:hAnsi="宋体"/>
          <w:color w:val="auto"/>
          <w:highlight w:val="none"/>
        </w:rPr>
        <w:t>；3</w:t>
      </w:r>
      <w:r>
        <w:rPr>
          <w:rFonts w:ascii="宋体" w:hAnsi="宋体"/>
          <w:color w:val="auto"/>
          <w:highlight w:val="none"/>
        </w:rPr>
        <w:t>.</w:t>
      </w:r>
      <w:r>
        <w:rPr>
          <w:rFonts w:hint="eastAsia" w:ascii="宋体" w:hAnsi="宋体"/>
          <w:color w:val="auto"/>
          <w:highlight w:val="none"/>
        </w:rPr>
        <w:t>本工程相关防雷设计及施工等均</w:t>
      </w:r>
      <w:r>
        <w:rPr>
          <w:rFonts w:ascii="宋体" w:hAnsi="宋体"/>
          <w:color w:val="auto"/>
          <w:highlight w:val="none"/>
        </w:rPr>
        <w:t>属于投标人的承包范围。</w:t>
      </w:r>
      <w:r>
        <w:rPr>
          <w:rFonts w:hint="eastAsia" w:ascii="宋体" w:hAnsi="宋体"/>
          <w:color w:val="auto"/>
          <w:highlight w:val="none"/>
        </w:rPr>
        <w:t>该项目</w:t>
      </w:r>
      <w:r>
        <w:rPr>
          <w:rFonts w:ascii="宋体" w:hAnsi="宋体"/>
          <w:color w:val="auto"/>
          <w:highlight w:val="none"/>
        </w:rPr>
        <w:t>的施工需符合光伏电站的施工管理要求。</w:t>
      </w:r>
    </w:p>
    <w:p>
      <w:pPr>
        <w:tabs>
          <w:tab w:val="right" w:leader="dot" w:pos="9555"/>
        </w:tabs>
        <w:spacing w:line="360" w:lineRule="auto"/>
        <w:ind w:firstLine="420" w:firstLineChars="200"/>
        <w:jc w:val="left"/>
        <w:rPr>
          <w:rFonts w:ascii="宋体" w:hAnsi="宋体"/>
          <w:color w:val="auto"/>
          <w:highlight w:val="none"/>
        </w:rPr>
      </w:pPr>
      <w:r>
        <w:rPr>
          <w:rFonts w:ascii="宋体" w:hAnsi="宋体"/>
          <w:color w:val="auto"/>
          <w:highlight w:val="none"/>
        </w:rPr>
        <w:t>电站性能试验由投标人</w:t>
      </w:r>
      <w:r>
        <w:rPr>
          <w:rFonts w:hint="eastAsia" w:ascii="宋体" w:hAnsi="宋体"/>
          <w:color w:val="auto"/>
          <w:highlight w:val="none"/>
        </w:rPr>
        <w:t>承担，其试验结果必须通过电力部门验收，满足电力规范要求。</w:t>
      </w:r>
    </w:p>
    <w:p>
      <w:pPr>
        <w:tabs>
          <w:tab w:val="right" w:leader="dot" w:pos="9555"/>
        </w:tabs>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投标人应按招标人批准的施工组织设计的规划要求，负责在现场设计并修建承包认为需要的任何临时设施</w:t>
      </w:r>
      <w:r>
        <w:rPr>
          <w:rFonts w:hint="eastAsia" w:ascii="宋体" w:hAnsi="宋体"/>
          <w:color w:val="auto"/>
          <w:szCs w:val="21"/>
          <w:highlight w:val="none"/>
        </w:rPr>
        <w:t>，</w:t>
      </w:r>
      <w:r>
        <w:rPr>
          <w:rFonts w:ascii="宋体" w:hAnsi="宋体"/>
          <w:color w:val="auto"/>
          <w:szCs w:val="21"/>
          <w:highlight w:val="none"/>
        </w:rPr>
        <w:t>并在合同工程竣工或在投标人使用结束时，按招标人的要求拆除</w:t>
      </w:r>
      <w:r>
        <w:rPr>
          <w:rFonts w:hint="eastAsia" w:ascii="宋体" w:hAnsi="宋体"/>
          <w:color w:val="auto"/>
          <w:szCs w:val="21"/>
          <w:highlight w:val="none"/>
        </w:rPr>
        <w:t>并恢复原状</w:t>
      </w:r>
      <w:r>
        <w:rPr>
          <w:rFonts w:ascii="宋体" w:hAnsi="宋体"/>
          <w:color w:val="auto"/>
          <w:szCs w:val="21"/>
          <w:highlight w:val="none"/>
        </w:rPr>
        <w:t>。</w:t>
      </w:r>
    </w:p>
    <w:p>
      <w:pPr>
        <w:spacing w:line="360" w:lineRule="auto"/>
        <w:ind w:firstLine="482" w:firstLineChars="200"/>
        <w:outlineLvl w:val="0"/>
        <w:rPr>
          <w:b/>
          <w:color w:val="auto"/>
          <w:sz w:val="24"/>
          <w:szCs w:val="20"/>
          <w:highlight w:val="none"/>
        </w:rPr>
      </w:pPr>
      <w:r>
        <w:rPr>
          <w:rFonts w:hint="eastAsia"/>
          <w:b/>
          <w:color w:val="auto"/>
          <w:sz w:val="24"/>
          <w:szCs w:val="20"/>
          <w:highlight w:val="none"/>
        </w:rPr>
        <w:t>（三） 招标方式</w:t>
      </w:r>
    </w:p>
    <w:p>
      <w:pPr>
        <w:spacing w:line="360" w:lineRule="auto"/>
        <w:ind w:firstLine="420" w:firstLineChars="200"/>
        <w:outlineLvl w:val="0"/>
        <w:rPr>
          <w:color w:val="auto"/>
          <w:szCs w:val="21"/>
          <w:highlight w:val="none"/>
        </w:rPr>
      </w:pPr>
      <w:r>
        <w:rPr>
          <w:rFonts w:hint="eastAsia" w:ascii="宋体" w:hAnsi="宋体"/>
          <w:color w:val="auto"/>
          <w:szCs w:val="21"/>
          <w:highlight w:val="none"/>
        </w:rPr>
        <w:t>采用</w:t>
      </w:r>
      <w:r>
        <w:rPr>
          <w:rFonts w:hint="eastAsia" w:ascii="宋体" w:hAnsi="宋体"/>
          <w:b/>
          <w:color w:val="auto"/>
          <w:szCs w:val="21"/>
          <w:highlight w:val="none"/>
          <w:u w:val="single"/>
        </w:rPr>
        <w:t xml:space="preserve"> 公开招标 </w:t>
      </w:r>
      <w:r>
        <w:rPr>
          <w:rFonts w:hint="eastAsia" w:ascii="宋体" w:hAnsi="宋体"/>
          <w:color w:val="auto"/>
          <w:szCs w:val="21"/>
          <w:highlight w:val="none"/>
        </w:rPr>
        <w:t>的方式</w:t>
      </w:r>
      <w:r>
        <w:rPr>
          <w:rFonts w:hint="eastAsia" w:hAnsi="宋体"/>
          <w:color w:val="auto"/>
          <w:szCs w:val="21"/>
          <w:highlight w:val="none"/>
        </w:rPr>
        <w:t>。</w:t>
      </w:r>
    </w:p>
    <w:p>
      <w:pPr>
        <w:spacing w:line="360" w:lineRule="auto"/>
        <w:ind w:firstLine="482" w:firstLineChars="200"/>
        <w:outlineLvl w:val="0"/>
        <w:rPr>
          <w:b/>
          <w:color w:val="auto"/>
          <w:sz w:val="24"/>
          <w:szCs w:val="20"/>
          <w:highlight w:val="none"/>
        </w:rPr>
      </w:pPr>
      <w:r>
        <w:rPr>
          <w:rFonts w:hint="eastAsia"/>
          <w:b/>
          <w:color w:val="auto"/>
          <w:sz w:val="24"/>
          <w:szCs w:val="20"/>
          <w:highlight w:val="none"/>
        </w:rPr>
        <w:t>（四）资金来源</w:t>
      </w:r>
    </w:p>
    <w:p>
      <w:pPr>
        <w:spacing w:line="360" w:lineRule="auto"/>
        <w:ind w:firstLine="420" w:firstLineChars="200"/>
        <w:outlineLvl w:val="0"/>
        <w:rPr>
          <w:color w:val="auto"/>
          <w:szCs w:val="21"/>
          <w:highlight w:val="none"/>
        </w:rPr>
      </w:pPr>
      <w:r>
        <w:rPr>
          <w:rFonts w:hint="eastAsia"/>
          <w:color w:val="auto"/>
          <w:szCs w:val="21"/>
          <w:highlight w:val="none"/>
        </w:rPr>
        <w:t>建设单位的资金通过前附表所述的方式获得，用于本工程合同项下的合格支付。</w:t>
      </w:r>
    </w:p>
    <w:p>
      <w:pPr>
        <w:spacing w:line="360" w:lineRule="auto"/>
        <w:ind w:firstLine="482" w:firstLineChars="200"/>
        <w:outlineLvl w:val="0"/>
        <w:rPr>
          <w:b/>
          <w:color w:val="auto"/>
          <w:sz w:val="24"/>
          <w:szCs w:val="20"/>
          <w:highlight w:val="none"/>
        </w:rPr>
      </w:pPr>
      <w:r>
        <w:rPr>
          <w:rFonts w:hint="eastAsia"/>
          <w:b/>
          <w:color w:val="auto"/>
          <w:sz w:val="24"/>
          <w:szCs w:val="20"/>
          <w:highlight w:val="none"/>
        </w:rPr>
        <w:t>（五）投标资格</w:t>
      </w:r>
    </w:p>
    <w:p>
      <w:pPr>
        <w:spacing w:line="360" w:lineRule="auto"/>
        <w:ind w:firstLine="420" w:firstLineChars="200"/>
        <w:outlineLvl w:val="0"/>
        <w:rPr>
          <w:b/>
          <w:color w:val="auto"/>
          <w:sz w:val="24"/>
          <w:szCs w:val="20"/>
          <w:highlight w:val="none"/>
        </w:rPr>
      </w:pPr>
      <w:r>
        <w:rPr>
          <w:rFonts w:hint="eastAsia"/>
          <w:color w:val="auto"/>
          <w:szCs w:val="21"/>
          <w:highlight w:val="none"/>
        </w:rPr>
        <w:t>参加的投标人应向招标单位提交法人营业执照、资质等级证书以及履行合同能力的有关证明文件，经审查符合本项目要求的资质和具备投标条件的单位，由招标单位审查同意后，将作为初审合格的投标单位，参加本工程的投标。</w:t>
      </w:r>
    </w:p>
    <w:p>
      <w:pPr>
        <w:spacing w:line="360" w:lineRule="auto"/>
        <w:ind w:firstLine="482" w:firstLineChars="200"/>
        <w:outlineLvl w:val="0"/>
        <w:rPr>
          <w:b/>
          <w:bCs/>
          <w:color w:val="auto"/>
          <w:sz w:val="24"/>
          <w:highlight w:val="none"/>
        </w:rPr>
      </w:pPr>
      <w:r>
        <w:rPr>
          <w:rFonts w:hint="eastAsia"/>
          <w:b/>
          <w:bCs/>
          <w:color w:val="auto"/>
          <w:sz w:val="24"/>
          <w:highlight w:val="none"/>
        </w:rPr>
        <w:t>（六）投标费用</w:t>
      </w:r>
    </w:p>
    <w:p>
      <w:pPr>
        <w:spacing w:line="360" w:lineRule="auto"/>
        <w:ind w:firstLine="420" w:firstLineChars="200"/>
        <w:outlineLvl w:val="0"/>
        <w:rPr>
          <w:b/>
          <w:color w:val="auto"/>
          <w:sz w:val="24"/>
          <w:highlight w:val="none"/>
        </w:rPr>
      </w:pPr>
      <w:r>
        <w:rPr>
          <w:rFonts w:hint="eastAsia"/>
          <w:color w:val="auto"/>
          <w:szCs w:val="21"/>
          <w:highlight w:val="none"/>
        </w:rPr>
        <w:t>投标人应承担其参加本招标活动，包括编制投标文件与递交投标文件所涉及的一切费用。不论投标结果如何，招标人在任何情况下无义务也无责任承担这些费用。</w:t>
      </w:r>
    </w:p>
    <w:p>
      <w:pPr>
        <w:spacing w:line="460" w:lineRule="exact"/>
        <w:ind w:firstLine="482" w:firstLineChars="200"/>
        <w:outlineLvl w:val="0"/>
        <w:rPr>
          <w:b/>
          <w:color w:val="auto"/>
          <w:sz w:val="24"/>
          <w:szCs w:val="20"/>
          <w:highlight w:val="none"/>
        </w:rPr>
      </w:pPr>
      <w:r>
        <w:rPr>
          <w:rFonts w:hint="eastAsia"/>
          <w:b/>
          <w:color w:val="auto"/>
          <w:sz w:val="24"/>
          <w:szCs w:val="20"/>
          <w:highlight w:val="none"/>
        </w:rPr>
        <w:t>（七）签订合同</w:t>
      </w:r>
    </w:p>
    <w:p>
      <w:pPr>
        <w:spacing w:line="440" w:lineRule="exact"/>
        <w:ind w:firstLine="422" w:firstLineChars="200"/>
        <w:rPr>
          <w:rFonts w:ascii="宋体" w:hAnsi="宋体"/>
          <w:color w:val="auto"/>
          <w:szCs w:val="21"/>
          <w:highlight w:val="none"/>
        </w:rPr>
      </w:pPr>
      <w:bookmarkStart w:id="5" w:name="_Toc287708704"/>
      <w:r>
        <w:rPr>
          <w:rFonts w:hint="eastAsia" w:ascii="宋体" w:hAnsi="宋体" w:cs="宋体"/>
          <w:b/>
          <w:bCs/>
          <w:color w:val="auto"/>
          <w:kern w:val="44"/>
          <w:szCs w:val="21"/>
          <w:highlight w:val="none"/>
        </w:rPr>
        <w:t>本工程需提交履约保证金,履约保证金为中标合同价的</w:t>
      </w:r>
      <w:r>
        <w:rPr>
          <w:rFonts w:ascii="宋体" w:hAnsi="宋体" w:cs="宋体"/>
          <w:b/>
          <w:bCs/>
          <w:color w:val="auto"/>
          <w:kern w:val="44"/>
          <w:szCs w:val="21"/>
          <w:highlight w:val="none"/>
          <w:u w:val="single"/>
        </w:rPr>
        <w:t>2</w:t>
      </w:r>
      <w:r>
        <w:rPr>
          <w:rFonts w:hint="eastAsia" w:ascii="宋体" w:hAnsi="宋体" w:cs="宋体"/>
          <w:b/>
          <w:bCs/>
          <w:color w:val="auto"/>
          <w:kern w:val="44"/>
          <w:szCs w:val="21"/>
          <w:highlight w:val="none"/>
          <w:u w:val="single"/>
        </w:rPr>
        <w:t>%；</w:t>
      </w:r>
      <w:r>
        <w:rPr>
          <w:rFonts w:hint="eastAsia" w:ascii="宋体" w:hAnsi="宋体" w:cs="宋体"/>
          <w:b/>
          <w:bCs/>
          <w:color w:val="auto"/>
          <w:kern w:val="44"/>
          <w:szCs w:val="21"/>
          <w:highlight w:val="none"/>
        </w:rPr>
        <w:t>履约保证金缴纳形式为：工程保函（银行保函、保险机构保证保险保单、融资担保公司保函）。</w:t>
      </w:r>
      <w:r>
        <w:rPr>
          <w:rFonts w:hint="eastAsia" w:ascii="宋体" w:hAnsi="宋体"/>
          <w:b/>
          <w:bCs/>
          <w:color w:val="auto"/>
          <w:szCs w:val="21"/>
          <w:highlight w:val="none"/>
          <w:u w:val="single"/>
        </w:rPr>
        <w:t>若</w:t>
      </w:r>
      <w:r>
        <w:rPr>
          <w:rFonts w:ascii="宋体" w:hAnsi="宋体"/>
          <w:b/>
          <w:bCs/>
          <w:color w:val="auto"/>
          <w:szCs w:val="21"/>
          <w:highlight w:val="none"/>
          <w:u w:val="single"/>
        </w:rPr>
        <w:t>履约担保</w:t>
      </w:r>
      <w:r>
        <w:rPr>
          <w:rFonts w:hint="eastAsia" w:ascii="宋体" w:hAnsi="宋体"/>
          <w:b/>
          <w:bCs/>
          <w:color w:val="auto"/>
          <w:szCs w:val="21"/>
          <w:highlight w:val="none"/>
          <w:u w:val="single"/>
        </w:rPr>
        <w:t>采用工程</w:t>
      </w:r>
      <w:r>
        <w:rPr>
          <w:rFonts w:ascii="宋体" w:hAnsi="宋体"/>
          <w:b/>
          <w:bCs/>
          <w:color w:val="auto"/>
          <w:szCs w:val="21"/>
          <w:highlight w:val="none"/>
          <w:u w:val="single"/>
        </w:rPr>
        <w:t>保函</w:t>
      </w:r>
      <w:r>
        <w:rPr>
          <w:rFonts w:hint="eastAsia" w:ascii="宋体" w:hAnsi="宋体"/>
          <w:b/>
          <w:bCs/>
          <w:color w:val="auto"/>
          <w:szCs w:val="21"/>
          <w:highlight w:val="none"/>
          <w:u w:val="single"/>
        </w:rPr>
        <w:t>形式的</w:t>
      </w:r>
      <w:r>
        <w:rPr>
          <w:rFonts w:ascii="宋体" w:hAnsi="宋体"/>
          <w:b/>
          <w:bCs/>
          <w:color w:val="auto"/>
          <w:szCs w:val="21"/>
          <w:highlight w:val="none"/>
          <w:u w:val="single"/>
        </w:rPr>
        <w:t>，</w:t>
      </w:r>
      <w:r>
        <w:rPr>
          <w:rFonts w:hint="eastAsia" w:ascii="宋体" w:hAnsi="宋体"/>
          <w:b/>
          <w:bCs/>
          <w:color w:val="auto"/>
          <w:szCs w:val="21"/>
          <w:highlight w:val="none"/>
          <w:u w:val="single"/>
        </w:rPr>
        <w:t>时限应</w:t>
      </w:r>
      <w:r>
        <w:rPr>
          <w:rFonts w:ascii="宋体" w:hAnsi="宋体"/>
          <w:b/>
          <w:bCs/>
          <w:color w:val="auto"/>
          <w:szCs w:val="21"/>
          <w:highlight w:val="none"/>
          <w:u w:val="single"/>
        </w:rPr>
        <w:t>为</w:t>
      </w:r>
      <w:r>
        <w:rPr>
          <w:rFonts w:hint="eastAsia" w:ascii="宋体" w:hAnsi="宋体"/>
          <w:b/>
          <w:bCs/>
          <w:color w:val="auto"/>
          <w:szCs w:val="21"/>
          <w:highlight w:val="none"/>
          <w:u w:val="single"/>
        </w:rPr>
        <w:t>整体</w:t>
      </w:r>
      <w:r>
        <w:rPr>
          <w:rFonts w:ascii="宋体" w:hAnsi="宋体"/>
          <w:b/>
          <w:bCs/>
          <w:color w:val="auto"/>
          <w:szCs w:val="21"/>
          <w:highlight w:val="none"/>
          <w:u w:val="single"/>
        </w:rPr>
        <w:t>工程</w:t>
      </w:r>
      <w:r>
        <w:rPr>
          <w:rFonts w:hint="eastAsia" w:ascii="宋体" w:hAnsi="宋体"/>
          <w:b/>
          <w:bCs/>
          <w:color w:val="auto"/>
          <w:szCs w:val="21"/>
          <w:highlight w:val="none"/>
          <w:u w:val="single"/>
        </w:rPr>
        <w:t>竣工验收合格后1</w:t>
      </w:r>
      <w:r>
        <w:rPr>
          <w:rFonts w:ascii="宋体" w:hAnsi="宋体"/>
          <w:b/>
          <w:bCs/>
          <w:color w:val="auto"/>
          <w:szCs w:val="21"/>
          <w:highlight w:val="none"/>
          <w:u w:val="single"/>
        </w:rPr>
        <w:t>0</w:t>
      </w:r>
      <w:r>
        <w:rPr>
          <w:rFonts w:hint="eastAsia" w:ascii="宋体" w:hAnsi="宋体"/>
          <w:b/>
          <w:bCs/>
          <w:color w:val="auto"/>
          <w:szCs w:val="21"/>
          <w:highlight w:val="none"/>
          <w:u w:val="single"/>
        </w:rPr>
        <w:t>日止。</w:t>
      </w:r>
      <w:r>
        <w:rPr>
          <w:rFonts w:hint="eastAsia" w:ascii="宋体" w:hAnsi="宋体"/>
          <w:color w:val="auto"/>
          <w:szCs w:val="21"/>
          <w:highlight w:val="none"/>
        </w:rPr>
        <w:t>在规定期限内拒签合同者，招标单位可取消该单位的中标权，经相关部门同意，重新组织招标。</w:t>
      </w:r>
    </w:p>
    <w:p>
      <w:pPr>
        <w:pStyle w:val="3"/>
        <w:rPr>
          <w:color w:val="auto"/>
          <w:highlight w:val="none"/>
        </w:rPr>
      </w:pPr>
      <w:r>
        <w:rPr>
          <w:rFonts w:hint="eastAsia"/>
          <w:color w:val="auto"/>
          <w:highlight w:val="none"/>
        </w:rPr>
        <w:t>二、招标文件</w:t>
      </w:r>
      <w:bookmarkEnd w:id="5"/>
    </w:p>
    <w:p>
      <w:pPr>
        <w:spacing w:line="460" w:lineRule="exact"/>
        <w:ind w:firstLine="482" w:firstLineChars="200"/>
        <w:outlineLvl w:val="0"/>
        <w:rPr>
          <w:b/>
          <w:color w:val="auto"/>
          <w:sz w:val="24"/>
          <w:szCs w:val="20"/>
          <w:highlight w:val="none"/>
        </w:rPr>
      </w:pPr>
      <w:r>
        <w:rPr>
          <w:rFonts w:hint="eastAsia"/>
          <w:b/>
          <w:color w:val="auto"/>
          <w:sz w:val="24"/>
          <w:szCs w:val="20"/>
          <w:highlight w:val="none"/>
        </w:rPr>
        <w:t>（一）招标文件的组成</w:t>
      </w:r>
    </w:p>
    <w:p>
      <w:pPr>
        <w:spacing w:line="46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1、招标文件除以下内容外，招标人在提交投标文件截止时间以前，以书面形式发出的对招标文件的澄清、答疑纪要和其他补充修改函，均是招标文件组成部分，对投标人起约束作用。</w:t>
      </w:r>
    </w:p>
    <w:p>
      <w:pPr>
        <w:spacing w:line="46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招标文件包括下列内容：</w:t>
      </w:r>
    </w:p>
    <w:p>
      <w:pPr>
        <w:numPr>
          <w:ilvl w:val="0"/>
          <w:numId w:val="15"/>
        </w:numPr>
        <w:spacing w:line="460" w:lineRule="exact"/>
        <w:outlineLvl w:val="0"/>
        <w:rPr>
          <w:rFonts w:ascii="宋体" w:hAnsi="宋体"/>
          <w:color w:val="auto"/>
          <w:szCs w:val="21"/>
          <w:highlight w:val="none"/>
        </w:rPr>
      </w:pPr>
      <w:r>
        <w:rPr>
          <w:rFonts w:hint="eastAsia" w:ascii="宋体" w:hAnsi="宋体"/>
          <w:color w:val="auto"/>
          <w:szCs w:val="21"/>
          <w:highlight w:val="none"/>
        </w:rPr>
        <w:t>前附表</w:t>
      </w:r>
    </w:p>
    <w:p>
      <w:pPr>
        <w:numPr>
          <w:ilvl w:val="0"/>
          <w:numId w:val="15"/>
        </w:numPr>
        <w:spacing w:line="460" w:lineRule="exact"/>
        <w:outlineLvl w:val="0"/>
        <w:rPr>
          <w:rFonts w:ascii="宋体" w:hAnsi="宋体"/>
          <w:color w:val="auto"/>
          <w:szCs w:val="21"/>
          <w:highlight w:val="none"/>
        </w:rPr>
      </w:pPr>
      <w:r>
        <w:rPr>
          <w:rFonts w:hint="eastAsia" w:ascii="宋体" w:hAnsi="宋体"/>
          <w:color w:val="auto"/>
          <w:szCs w:val="21"/>
          <w:highlight w:val="none"/>
        </w:rPr>
        <w:t>第一章  投标须知</w:t>
      </w:r>
    </w:p>
    <w:p>
      <w:pPr>
        <w:numPr>
          <w:ilvl w:val="0"/>
          <w:numId w:val="15"/>
        </w:numPr>
        <w:spacing w:line="460" w:lineRule="exact"/>
        <w:outlineLvl w:val="0"/>
        <w:rPr>
          <w:rFonts w:ascii="宋体" w:hAnsi="宋体"/>
          <w:color w:val="auto"/>
          <w:szCs w:val="21"/>
          <w:highlight w:val="none"/>
        </w:rPr>
      </w:pPr>
      <w:r>
        <w:rPr>
          <w:rFonts w:hint="eastAsia" w:ascii="宋体" w:hAnsi="宋体"/>
          <w:color w:val="auto"/>
          <w:szCs w:val="21"/>
          <w:highlight w:val="none"/>
        </w:rPr>
        <w:t>第二章  合同主要协议条款</w:t>
      </w:r>
    </w:p>
    <w:p>
      <w:pPr>
        <w:numPr>
          <w:ilvl w:val="0"/>
          <w:numId w:val="15"/>
        </w:numPr>
        <w:spacing w:line="460" w:lineRule="exact"/>
        <w:outlineLvl w:val="0"/>
        <w:rPr>
          <w:rFonts w:ascii="宋体" w:hAnsi="宋体"/>
          <w:color w:val="auto"/>
          <w:szCs w:val="21"/>
          <w:highlight w:val="none"/>
        </w:rPr>
      </w:pPr>
      <w:r>
        <w:rPr>
          <w:rFonts w:hint="eastAsia" w:ascii="宋体" w:hAnsi="宋体"/>
          <w:color w:val="auto"/>
          <w:szCs w:val="21"/>
          <w:highlight w:val="none"/>
        </w:rPr>
        <w:t xml:space="preserve">第三章  </w:t>
      </w:r>
      <w:r>
        <w:rPr>
          <w:rFonts w:hint="eastAsia"/>
          <w:color w:val="auto"/>
          <w:highlight w:val="none"/>
        </w:rPr>
        <w:t>技术标准和要求</w:t>
      </w:r>
    </w:p>
    <w:p>
      <w:pPr>
        <w:numPr>
          <w:ilvl w:val="0"/>
          <w:numId w:val="15"/>
        </w:numPr>
        <w:spacing w:line="460" w:lineRule="exact"/>
        <w:outlineLvl w:val="0"/>
        <w:rPr>
          <w:rFonts w:ascii="宋体" w:hAnsi="宋体"/>
          <w:color w:val="auto"/>
          <w:szCs w:val="21"/>
          <w:highlight w:val="none"/>
        </w:rPr>
      </w:pPr>
      <w:r>
        <w:rPr>
          <w:rFonts w:hint="eastAsia" w:ascii="宋体" w:hAnsi="宋体"/>
          <w:color w:val="auto"/>
          <w:szCs w:val="21"/>
          <w:highlight w:val="none"/>
        </w:rPr>
        <w:t>第四章  评标办法</w:t>
      </w:r>
    </w:p>
    <w:p>
      <w:pPr>
        <w:numPr>
          <w:ilvl w:val="0"/>
          <w:numId w:val="15"/>
        </w:numPr>
        <w:spacing w:line="460" w:lineRule="exact"/>
        <w:outlineLvl w:val="0"/>
        <w:rPr>
          <w:rFonts w:ascii="宋体" w:hAnsi="宋体"/>
          <w:color w:val="auto"/>
          <w:szCs w:val="21"/>
          <w:highlight w:val="none"/>
        </w:rPr>
      </w:pPr>
      <w:r>
        <w:rPr>
          <w:rFonts w:hint="eastAsia" w:ascii="宋体" w:hAnsi="宋体"/>
          <w:color w:val="auto"/>
          <w:szCs w:val="21"/>
          <w:highlight w:val="none"/>
        </w:rPr>
        <w:t>第五章  投标文件编制</w:t>
      </w:r>
    </w:p>
    <w:p>
      <w:pPr>
        <w:spacing w:line="46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2、投标人应认真审阅招标文件中所有的事项、条款、格式和标准要求等，如果投标人的投标文件没有按照招标文件要求提交全部资料或者投标文件没有对招标文件做出实质性响应，其风险应由投标人自行承担，并且根据有关条款规定，其投标有可能被拒绝。</w:t>
      </w:r>
    </w:p>
    <w:p>
      <w:pPr>
        <w:spacing w:line="460" w:lineRule="exact"/>
        <w:ind w:firstLine="482" w:firstLineChars="200"/>
        <w:outlineLvl w:val="0"/>
        <w:rPr>
          <w:b/>
          <w:color w:val="auto"/>
          <w:sz w:val="24"/>
          <w:szCs w:val="20"/>
          <w:highlight w:val="none"/>
        </w:rPr>
      </w:pPr>
      <w:r>
        <w:rPr>
          <w:rFonts w:hint="eastAsia"/>
          <w:b/>
          <w:color w:val="auto"/>
          <w:sz w:val="24"/>
          <w:szCs w:val="20"/>
          <w:highlight w:val="none"/>
        </w:rPr>
        <w:t>（二）招标文件的澄清</w:t>
      </w:r>
    </w:p>
    <w:p>
      <w:pPr>
        <w:spacing w:line="48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投标人在下载招标文件后，对招标文件有任何疑问，应</w:t>
      </w:r>
      <w:r>
        <w:rPr>
          <w:rFonts w:hint="eastAsia" w:ascii="宋体" w:hAnsi="宋体"/>
          <w:color w:val="auto"/>
          <w:highlight w:val="none"/>
        </w:rPr>
        <w:t>于</w:t>
      </w:r>
      <w:r>
        <w:rPr>
          <w:rFonts w:hint="eastAsia" w:ascii="宋体" w:hAnsi="宋体"/>
          <w:color w:val="auto"/>
          <w:szCs w:val="21"/>
          <w:highlight w:val="none"/>
        </w:rPr>
        <w:t>前附表规定的时间前，</w:t>
      </w:r>
      <w:r>
        <w:rPr>
          <w:rFonts w:hint="eastAsia" w:ascii="宋体" w:hAnsi="宋体"/>
          <w:bCs/>
          <w:color w:val="auto"/>
          <w:highlight w:val="none"/>
        </w:rPr>
        <w:t>以书面形式及时提出</w:t>
      </w:r>
      <w:r>
        <w:rPr>
          <w:rFonts w:hint="eastAsia" w:ascii="宋体" w:hAnsi="宋体"/>
          <w:color w:val="auto"/>
          <w:szCs w:val="21"/>
          <w:highlight w:val="none"/>
        </w:rPr>
        <w:t>。无论是招标人根据需要主动对招标文件进行必要的澄清，或是根据投标人的要求对招标文件做出澄清，招标人都将于开标前2日以书面形式予以澄清</w:t>
      </w:r>
      <w:r>
        <w:rPr>
          <w:rFonts w:hint="eastAsia" w:ascii="宋体" w:hAnsi="宋体"/>
          <w:bCs/>
          <w:color w:val="auto"/>
          <w:highlight w:val="none"/>
        </w:rPr>
        <w:t>。</w:t>
      </w:r>
      <w:r>
        <w:rPr>
          <w:rFonts w:hint="eastAsia" w:ascii="宋体" w:hAnsi="宋体"/>
          <w:color w:val="auto"/>
          <w:szCs w:val="21"/>
          <w:highlight w:val="none"/>
        </w:rPr>
        <w:t>澄清文件作为招标文件的组成部分，具有约束作用。投标人必须自行下载澄清文件，否则后果自负。</w:t>
      </w:r>
    </w:p>
    <w:p>
      <w:pPr>
        <w:spacing w:line="460" w:lineRule="exact"/>
        <w:ind w:firstLine="482" w:firstLineChars="200"/>
        <w:outlineLvl w:val="0"/>
        <w:rPr>
          <w:b/>
          <w:color w:val="auto"/>
          <w:sz w:val="24"/>
          <w:szCs w:val="20"/>
          <w:highlight w:val="none"/>
        </w:rPr>
      </w:pPr>
      <w:r>
        <w:rPr>
          <w:rFonts w:hint="eastAsia"/>
          <w:b/>
          <w:color w:val="auto"/>
          <w:sz w:val="24"/>
          <w:szCs w:val="20"/>
          <w:highlight w:val="none"/>
        </w:rPr>
        <w:t>（三）招标文件的修改</w:t>
      </w:r>
    </w:p>
    <w:p>
      <w:pPr>
        <w:spacing w:line="46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1、招标文件发出后，在投标截止日期2天前，招标人可对招标文件进行必要的澄清或修改。</w:t>
      </w:r>
    </w:p>
    <w:p>
      <w:pPr>
        <w:spacing w:line="46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2、招标文件的修改将以书面形式发放给所有招标文件获取者。招标文件的修改内容作为招标文件的组成部分，具有约束作用。</w:t>
      </w:r>
    </w:p>
    <w:p>
      <w:pPr>
        <w:spacing w:line="46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3、招标文件澄清、答疑纪要、修改、补充等内容均以</w:t>
      </w:r>
      <w:r>
        <w:rPr>
          <w:rFonts w:hint="eastAsia" w:ascii="宋体" w:hAnsi="宋体"/>
          <w:b/>
          <w:color w:val="auto"/>
          <w:szCs w:val="21"/>
          <w:highlight w:val="none"/>
          <w:u w:val="double"/>
        </w:rPr>
        <w:t>书面</w:t>
      </w:r>
      <w:r>
        <w:rPr>
          <w:rFonts w:hint="eastAsia" w:ascii="宋体" w:hAnsi="宋体"/>
          <w:color w:val="auto"/>
          <w:szCs w:val="21"/>
          <w:highlight w:val="none"/>
        </w:rPr>
        <w:t>形式明确的内容为准。当招标文件、招标文件澄清纪要、修改、补充通知内容互相矛盾时，以最后发出的电子文件为准。</w:t>
      </w:r>
    </w:p>
    <w:p>
      <w:pPr>
        <w:spacing w:line="48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4、为使投标人在编制投标文件时有充分的时间对招标文件的澄清、修改、补充等内容进行研究，招标人如果需要延长提交投标文件的截止时间，具体时间将在招标文件的修改、补充通知中予以明确。</w:t>
      </w:r>
    </w:p>
    <w:p>
      <w:pPr>
        <w:pStyle w:val="3"/>
        <w:rPr>
          <w:color w:val="auto"/>
          <w:highlight w:val="none"/>
        </w:rPr>
      </w:pPr>
      <w:bookmarkStart w:id="6" w:name="_Toc287708705"/>
      <w:r>
        <w:rPr>
          <w:rFonts w:hint="eastAsia"/>
          <w:color w:val="auto"/>
          <w:highlight w:val="none"/>
        </w:rPr>
        <w:t>三、投标报价</w:t>
      </w:r>
      <w:bookmarkEnd w:id="6"/>
    </w:p>
    <w:p>
      <w:pPr>
        <w:numPr>
          <w:ilvl w:val="0"/>
          <w:numId w:val="4"/>
        </w:numPr>
        <w:spacing w:line="460" w:lineRule="exact"/>
        <w:outlineLvl w:val="0"/>
        <w:rPr>
          <w:b/>
          <w:color w:val="auto"/>
          <w:sz w:val="24"/>
          <w:szCs w:val="20"/>
          <w:highlight w:val="none"/>
        </w:rPr>
      </w:pPr>
      <w:r>
        <w:rPr>
          <w:rFonts w:hint="eastAsia"/>
          <w:b/>
          <w:color w:val="auto"/>
          <w:sz w:val="24"/>
          <w:szCs w:val="20"/>
          <w:highlight w:val="none"/>
        </w:rPr>
        <w:t>最高限价</w:t>
      </w:r>
    </w:p>
    <w:p>
      <w:pPr>
        <w:spacing w:line="460" w:lineRule="exact"/>
        <w:ind w:firstLine="422" w:firstLineChars="200"/>
        <w:outlineLvl w:val="0"/>
        <w:rPr>
          <w:rFonts w:ascii="宋体" w:hAnsi="宋体"/>
          <w:b/>
          <w:bCs/>
          <w:color w:val="auto"/>
          <w:szCs w:val="21"/>
          <w:highlight w:val="none"/>
        </w:rPr>
      </w:pPr>
      <w:r>
        <w:rPr>
          <w:rFonts w:hint="eastAsia" w:ascii="宋体" w:hAnsi="宋体"/>
          <w:b/>
          <w:bCs/>
          <w:color w:val="auto"/>
          <w:szCs w:val="21"/>
          <w:highlight w:val="none"/>
        </w:rPr>
        <w:t>本项目设置上限价，上限单价为</w:t>
      </w:r>
      <w:r>
        <w:rPr>
          <w:rFonts w:ascii="宋体" w:hAnsi="宋体"/>
          <w:b/>
          <w:color w:val="auto"/>
          <w:szCs w:val="21"/>
          <w:highlight w:val="none"/>
        </w:rPr>
        <w:t>5.</w:t>
      </w:r>
      <w:r>
        <w:rPr>
          <w:rFonts w:hint="eastAsia" w:ascii="宋体" w:hAnsi="宋体"/>
          <w:b/>
          <w:color w:val="auto"/>
          <w:szCs w:val="21"/>
          <w:highlight w:val="none"/>
        </w:rPr>
        <w:t>3</w:t>
      </w:r>
      <w:r>
        <w:rPr>
          <w:rFonts w:hint="eastAsia" w:ascii="宋体" w:hAnsi="宋体"/>
          <w:b/>
          <w:bCs/>
          <w:color w:val="auto"/>
          <w:szCs w:val="21"/>
          <w:highlight w:val="none"/>
        </w:rPr>
        <w:t>元/w</w:t>
      </w:r>
      <w:r>
        <w:rPr>
          <w:rFonts w:hint="eastAsia" w:ascii="宋体"/>
          <w:b/>
          <w:bCs/>
          <w:color w:val="auto"/>
          <w:highlight w:val="none"/>
        </w:rPr>
        <w:t>（含设计、</w:t>
      </w:r>
      <w:r>
        <w:rPr>
          <w:rFonts w:hint="eastAsia" w:hAnsi="宋体"/>
          <w:b/>
          <w:bCs/>
          <w:color w:val="auto"/>
          <w:szCs w:val="21"/>
          <w:highlight w:val="none"/>
        </w:rPr>
        <w:t>设备材料采购供应、设备基础工程（含墙地面修复等）、安装、后台监控、系统调试、试运行直至交付生产）</w:t>
      </w:r>
      <w:r>
        <w:rPr>
          <w:rFonts w:hint="eastAsia" w:ascii="宋体" w:hAnsi="宋体"/>
          <w:b/>
          <w:color w:val="auto"/>
          <w:szCs w:val="21"/>
          <w:highlight w:val="none"/>
        </w:rPr>
        <w:t>，</w:t>
      </w:r>
      <w:r>
        <w:rPr>
          <w:rFonts w:hint="eastAsia" w:ascii="宋体" w:hAnsi="宋体"/>
          <w:b/>
          <w:bCs/>
          <w:color w:val="auto"/>
          <w:szCs w:val="21"/>
          <w:highlight w:val="none"/>
        </w:rPr>
        <w:t>凡投标报价</w:t>
      </w:r>
      <w:r>
        <w:rPr>
          <w:rFonts w:hint="eastAsia" w:ascii="宋体" w:hAnsi="宋体"/>
          <w:b/>
          <w:color w:val="auto"/>
          <w:szCs w:val="21"/>
          <w:highlight w:val="none"/>
        </w:rPr>
        <w:t>大于或等于</w:t>
      </w:r>
      <w:r>
        <w:rPr>
          <w:rFonts w:hint="eastAsia" w:ascii="宋体" w:hAnsi="宋体"/>
          <w:b/>
          <w:bCs/>
          <w:color w:val="auto"/>
          <w:szCs w:val="21"/>
          <w:highlight w:val="none"/>
        </w:rPr>
        <w:t>此限价的作无效标处理。</w:t>
      </w:r>
    </w:p>
    <w:p>
      <w:pPr>
        <w:numPr>
          <w:ilvl w:val="0"/>
          <w:numId w:val="4"/>
        </w:numPr>
        <w:spacing w:line="460" w:lineRule="exact"/>
        <w:outlineLvl w:val="0"/>
        <w:rPr>
          <w:b/>
          <w:color w:val="auto"/>
          <w:sz w:val="24"/>
          <w:szCs w:val="20"/>
          <w:highlight w:val="none"/>
        </w:rPr>
      </w:pPr>
      <w:r>
        <w:rPr>
          <w:rFonts w:hint="eastAsia"/>
          <w:b/>
          <w:color w:val="auto"/>
          <w:sz w:val="24"/>
          <w:szCs w:val="20"/>
          <w:highlight w:val="none"/>
        </w:rPr>
        <w:t>投标报价</w:t>
      </w:r>
    </w:p>
    <w:p>
      <w:pPr>
        <w:spacing w:line="460" w:lineRule="exact"/>
        <w:ind w:firstLine="584" w:firstLineChars="277"/>
        <w:outlineLvl w:val="0"/>
        <w:rPr>
          <w:rFonts w:ascii="黑体" w:hAnsi="宋体" w:eastAsia="黑体"/>
          <w:b/>
          <w:color w:val="auto"/>
          <w:sz w:val="24"/>
          <w:highlight w:val="none"/>
          <w:u w:val="single"/>
        </w:rPr>
      </w:pPr>
      <w:r>
        <w:rPr>
          <w:rFonts w:hint="eastAsia" w:ascii="宋体" w:hAnsi="宋体"/>
          <w:b/>
          <w:color w:val="auto"/>
          <w:szCs w:val="21"/>
          <w:highlight w:val="none"/>
        </w:rPr>
        <w:t>本项目为EPC总承包</w:t>
      </w:r>
      <w:bookmarkStart w:id="7" w:name="_Toc65998473"/>
      <w:bookmarkStart w:id="8" w:name="_Toc209537457"/>
    </w:p>
    <w:p>
      <w:pPr>
        <w:spacing w:line="460" w:lineRule="exact"/>
        <w:ind w:firstLine="420" w:firstLineChars="200"/>
        <w:outlineLvl w:val="0"/>
        <w:rPr>
          <w:color w:val="auto"/>
          <w:szCs w:val="21"/>
          <w:highlight w:val="none"/>
          <w:u w:val="single"/>
        </w:rPr>
      </w:pPr>
      <w:r>
        <w:rPr>
          <w:rFonts w:hint="eastAsia"/>
          <w:color w:val="auto"/>
          <w:szCs w:val="21"/>
          <w:highlight w:val="none"/>
        </w:rPr>
        <w:t>1）</w:t>
      </w:r>
      <w:r>
        <w:rPr>
          <w:rFonts w:hint="eastAsia"/>
          <w:color w:val="auto"/>
          <w:szCs w:val="21"/>
          <w:highlight w:val="none"/>
          <w:u w:val="single"/>
        </w:rPr>
        <w:t>投标人根据、招标文件及有关资料的要求，经现场调查后编制工程量清单（投标人自行编制），并结合企业自身情况，采用全包交钥匙方式进行报价，合同执行过程中单价不作调整</w:t>
      </w:r>
      <w:r>
        <w:rPr>
          <w:rFonts w:hint="eastAsia"/>
          <w:color w:val="auto"/>
          <w:szCs w:val="21"/>
          <w:highlight w:val="none"/>
        </w:rPr>
        <w:t>。</w:t>
      </w:r>
    </w:p>
    <w:p>
      <w:pPr>
        <w:spacing w:line="460" w:lineRule="exact"/>
        <w:ind w:firstLine="420" w:firstLineChars="200"/>
        <w:outlineLvl w:val="0"/>
        <w:rPr>
          <w:rFonts w:ascii="宋体" w:hAnsi="宋体" w:cs="宋体"/>
          <w:color w:val="auto"/>
          <w:kern w:val="0"/>
          <w:szCs w:val="21"/>
          <w:highlight w:val="none"/>
        </w:rPr>
      </w:pPr>
      <w:r>
        <w:rPr>
          <w:rFonts w:hint="eastAsia"/>
          <w:color w:val="auto"/>
          <w:szCs w:val="21"/>
          <w:highlight w:val="none"/>
        </w:rPr>
        <w:t>2</w:t>
      </w:r>
      <w:r>
        <w:rPr>
          <w:rFonts w:hint="eastAsia" w:ascii="宋体" w:hAnsi="宋体" w:cs="宋体"/>
          <w:color w:val="auto"/>
          <w:kern w:val="0"/>
          <w:szCs w:val="21"/>
          <w:highlight w:val="none"/>
        </w:rPr>
        <w:t>）投标单价中应包括有关本项目实施所需的货物费、运杂费、吊装费、登高车费用 、安装、调试费、培训费、第三方鉴定（项目验收）、售后服务及维护费、税金、政策性文件规定及合同包含的所有风险、责任等所涉及的一切费用。</w:t>
      </w:r>
      <w:r>
        <w:rPr>
          <w:rFonts w:hint="eastAsia" w:hAnsi="宋体"/>
          <w:b/>
          <w:bCs/>
          <w:color w:val="auto"/>
          <w:szCs w:val="21"/>
          <w:highlight w:val="none"/>
        </w:rPr>
        <w:t>其中安全文明施工费单列（投标人自行判断）。丽水九里加油站的苗木修剪费用需投标人自行考虑。</w:t>
      </w:r>
    </w:p>
    <w:p>
      <w:pPr>
        <w:spacing w:line="460" w:lineRule="exact"/>
        <w:ind w:firstLine="420" w:firstLineChars="200"/>
        <w:outlineLvl w:val="0"/>
        <w:rPr>
          <w:color w:val="auto"/>
          <w:szCs w:val="21"/>
          <w:highlight w:val="none"/>
          <w:u w:val="single"/>
        </w:rPr>
      </w:pPr>
      <w:r>
        <w:rPr>
          <w:rFonts w:hint="eastAsia"/>
          <w:color w:val="auto"/>
          <w:szCs w:val="21"/>
          <w:highlight w:val="none"/>
        </w:rPr>
        <w:t>3）</w:t>
      </w:r>
      <w:r>
        <w:rPr>
          <w:rFonts w:hint="eastAsia"/>
          <w:color w:val="auto"/>
          <w:szCs w:val="21"/>
          <w:highlight w:val="none"/>
          <w:u w:val="single"/>
        </w:rPr>
        <w:t>工程量清单中的每一单项均需计算填写综合单价和合价，投标人没有完整填写综合单价和合价的项将不予计取，招标人将认为此项费用已包括在工程量清单的其他单价和合价中</w:t>
      </w:r>
      <w:r>
        <w:rPr>
          <w:rFonts w:hint="eastAsia"/>
          <w:color w:val="auto"/>
          <w:szCs w:val="21"/>
          <w:highlight w:val="none"/>
        </w:rPr>
        <w:t>。</w:t>
      </w:r>
    </w:p>
    <w:p>
      <w:pPr>
        <w:spacing w:line="460" w:lineRule="exact"/>
        <w:ind w:firstLine="420" w:firstLineChars="200"/>
        <w:outlineLvl w:val="0"/>
        <w:rPr>
          <w:color w:val="auto"/>
          <w:szCs w:val="21"/>
          <w:highlight w:val="none"/>
          <w:u w:val="single"/>
        </w:rPr>
      </w:pPr>
      <w:r>
        <w:rPr>
          <w:rFonts w:hint="eastAsia"/>
          <w:color w:val="auto"/>
          <w:szCs w:val="21"/>
          <w:highlight w:val="none"/>
        </w:rPr>
        <w:t>4）</w:t>
      </w:r>
      <w:r>
        <w:rPr>
          <w:rFonts w:hint="eastAsia"/>
          <w:color w:val="auto"/>
          <w:szCs w:val="21"/>
          <w:highlight w:val="none"/>
          <w:u w:val="single"/>
        </w:rPr>
        <w:t>投标单位应对施工现场进行踏勘，综合考虑深化设计、管（线）加长、墙面开孔及墙地面修复等可能增加的费用，计入报价中</w:t>
      </w:r>
      <w:r>
        <w:rPr>
          <w:rFonts w:hint="eastAsia"/>
          <w:color w:val="auto"/>
          <w:szCs w:val="21"/>
          <w:highlight w:val="none"/>
        </w:rPr>
        <w:t>。</w:t>
      </w:r>
    </w:p>
    <w:p>
      <w:pPr>
        <w:spacing w:line="460" w:lineRule="exact"/>
        <w:ind w:firstLine="420" w:firstLineChars="200"/>
        <w:outlineLvl w:val="0"/>
        <w:rPr>
          <w:color w:val="auto"/>
          <w:szCs w:val="21"/>
          <w:highlight w:val="none"/>
          <w:u w:val="single"/>
        </w:rPr>
      </w:pPr>
      <w:r>
        <w:rPr>
          <w:rFonts w:hint="eastAsia"/>
          <w:color w:val="auto"/>
          <w:szCs w:val="21"/>
          <w:highlight w:val="none"/>
        </w:rPr>
        <w:t>5）</w:t>
      </w:r>
      <w:r>
        <w:rPr>
          <w:rFonts w:hint="eastAsia"/>
          <w:color w:val="auto"/>
          <w:szCs w:val="21"/>
          <w:highlight w:val="none"/>
          <w:u w:val="single"/>
        </w:rPr>
        <w:t>用于本项目的混凝土基础（配重支墩）由投标人在施工场地外制作、养护，制成品再运输到施工现场安装，相关费用包含在投标总价中</w:t>
      </w:r>
      <w:r>
        <w:rPr>
          <w:rFonts w:hint="eastAsia"/>
          <w:color w:val="auto"/>
          <w:szCs w:val="21"/>
          <w:highlight w:val="none"/>
        </w:rPr>
        <w:t>。</w:t>
      </w:r>
    </w:p>
    <w:bookmarkEnd w:id="7"/>
    <w:bookmarkEnd w:id="8"/>
    <w:p>
      <w:pPr>
        <w:spacing w:line="460" w:lineRule="exact"/>
        <w:ind w:firstLine="420" w:firstLineChars="200"/>
        <w:outlineLvl w:val="0"/>
        <w:rPr>
          <w:color w:val="auto"/>
          <w:szCs w:val="21"/>
          <w:highlight w:val="none"/>
          <w:u w:val="single"/>
        </w:rPr>
      </w:pPr>
      <w:r>
        <w:rPr>
          <w:rFonts w:hint="eastAsia"/>
          <w:color w:val="auto"/>
          <w:szCs w:val="21"/>
          <w:highlight w:val="none"/>
        </w:rPr>
        <w:t>6）</w:t>
      </w:r>
      <w:r>
        <w:rPr>
          <w:rFonts w:hint="eastAsia"/>
          <w:color w:val="auto"/>
          <w:szCs w:val="21"/>
          <w:highlight w:val="none"/>
          <w:u w:val="single"/>
        </w:rPr>
        <w:t>施工用电、用水：由招标人免费提供使用，接入至施工场地费用计入投标报价</w:t>
      </w:r>
      <w:r>
        <w:rPr>
          <w:rFonts w:hint="eastAsia"/>
          <w:color w:val="auto"/>
          <w:szCs w:val="21"/>
          <w:highlight w:val="none"/>
        </w:rPr>
        <w:t>。</w:t>
      </w:r>
    </w:p>
    <w:p>
      <w:pPr>
        <w:spacing w:line="460" w:lineRule="exact"/>
        <w:ind w:firstLine="420" w:firstLineChars="200"/>
        <w:outlineLvl w:val="0"/>
        <w:rPr>
          <w:color w:val="auto"/>
          <w:szCs w:val="21"/>
          <w:highlight w:val="none"/>
          <w:u w:val="single"/>
        </w:rPr>
      </w:pPr>
      <w:r>
        <w:rPr>
          <w:rFonts w:hint="eastAsia"/>
          <w:color w:val="auto"/>
          <w:szCs w:val="21"/>
          <w:highlight w:val="none"/>
        </w:rPr>
        <w:t>7）</w:t>
      </w:r>
      <w:r>
        <w:rPr>
          <w:rFonts w:hint="eastAsia"/>
          <w:color w:val="auto"/>
          <w:szCs w:val="21"/>
          <w:highlight w:val="none"/>
          <w:u w:val="single"/>
        </w:rPr>
        <w:t>工程所用的其他材料以投标人自行市场调查确定的价格计入投标报价，今后实施过程中不论是市场变化和造价管理部门公布的材料价格调整等因素均不作调整。投标人必须填报主要材料的品牌、产地、价格，任何有选择的材料报价，其投标将不予接受</w:t>
      </w:r>
      <w:r>
        <w:rPr>
          <w:rFonts w:hint="eastAsia"/>
          <w:color w:val="auto"/>
          <w:szCs w:val="21"/>
          <w:highlight w:val="none"/>
        </w:rPr>
        <w:t>。</w:t>
      </w:r>
    </w:p>
    <w:p>
      <w:pPr>
        <w:spacing w:line="460" w:lineRule="exact"/>
        <w:ind w:firstLine="420" w:firstLineChars="200"/>
        <w:outlineLvl w:val="0"/>
        <w:rPr>
          <w:color w:val="auto"/>
          <w:szCs w:val="21"/>
          <w:highlight w:val="none"/>
          <w:u w:val="single"/>
        </w:rPr>
      </w:pPr>
      <w:r>
        <w:rPr>
          <w:rFonts w:hint="eastAsia"/>
          <w:color w:val="auto"/>
          <w:szCs w:val="21"/>
          <w:highlight w:val="none"/>
        </w:rPr>
        <w:t>8）</w:t>
      </w:r>
      <w:r>
        <w:rPr>
          <w:rFonts w:hint="eastAsia"/>
          <w:color w:val="auto"/>
          <w:szCs w:val="21"/>
          <w:highlight w:val="none"/>
          <w:u w:val="single"/>
        </w:rPr>
        <w:t>施工时由招标人配合承包人办理相关手续，所需费用由承包人自理，综合考虑并计入投标报价中</w:t>
      </w:r>
      <w:r>
        <w:rPr>
          <w:rFonts w:hint="eastAsia"/>
          <w:color w:val="auto"/>
          <w:szCs w:val="21"/>
          <w:highlight w:val="none"/>
        </w:rPr>
        <w:t>。</w:t>
      </w:r>
    </w:p>
    <w:p>
      <w:pPr>
        <w:spacing w:line="460" w:lineRule="exact"/>
        <w:ind w:firstLine="420" w:firstLineChars="200"/>
        <w:outlineLvl w:val="0"/>
        <w:rPr>
          <w:color w:val="auto"/>
          <w:szCs w:val="21"/>
          <w:highlight w:val="none"/>
        </w:rPr>
      </w:pPr>
      <w:r>
        <w:rPr>
          <w:rFonts w:hint="eastAsia"/>
          <w:color w:val="auto"/>
          <w:szCs w:val="21"/>
          <w:highlight w:val="none"/>
        </w:rPr>
        <w:t>9）</w:t>
      </w:r>
      <w:r>
        <w:rPr>
          <w:rFonts w:hint="eastAsia"/>
          <w:color w:val="auto"/>
          <w:szCs w:val="21"/>
          <w:highlight w:val="none"/>
          <w:u w:val="single"/>
        </w:rPr>
        <w:t>如果本项目在实际施工中，出现不在本次承包范围内的项目，而根据情况又必须由承包人施工的，双方可以签订补充合同，费用根据实际情况按承包人投标水平及优惠条件进行结算，并相应调整本工程最终结算价。如根据实际情况出现承包范围内部分工作需由其他单位施工的，则费用相应扣减</w:t>
      </w:r>
      <w:r>
        <w:rPr>
          <w:rFonts w:hint="eastAsia"/>
          <w:color w:val="auto"/>
          <w:szCs w:val="21"/>
          <w:highlight w:val="none"/>
        </w:rPr>
        <w:t>。</w:t>
      </w:r>
    </w:p>
    <w:p>
      <w:pPr>
        <w:spacing w:line="460" w:lineRule="exact"/>
        <w:ind w:firstLine="420" w:firstLineChars="200"/>
        <w:outlineLvl w:val="0"/>
        <w:rPr>
          <w:color w:val="auto"/>
          <w:szCs w:val="21"/>
          <w:highlight w:val="none"/>
        </w:rPr>
      </w:pPr>
      <w:r>
        <w:rPr>
          <w:rFonts w:hint="eastAsia"/>
          <w:color w:val="auto"/>
          <w:szCs w:val="21"/>
          <w:highlight w:val="none"/>
        </w:rPr>
        <w:t>10）</w:t>
      </w:r>
      <w:r>
        <w:rPr>
          <w:rFonts w:hint="eastAsia"/>
          <w:color w:val="auto"/>
          <w:szCs w:val="21"/>
          <w:highlight w:val="none"/>
          <w:u w:val="single"/>
        </w:rPr>
        <w:t>投标单位对所投设备只能提出一个报价，招标单位不接受任何选择报价</w:t>
      </w:r>
      <w:r>
        <w:rPr>
          <w:rFonts w:hint="eastAsia"/>
          <w:color w:val="auto"/>
          <w:szCs w:val="21"/>
          <w:highlight w:val="none"/>
        </w:rPr>
        <w:t>。</w:t>
      </w:r>
    </w:p>
    <w:p>
      <w:pPr>
        <w:spacing w:line="460" w:lineRule="exact"/>
        <w:ind w:firstLine="482" w:firstLineChars="200"/>
        <w:outlineLvl w:val="0"/>
        <w:rPr>
          <w:b/>
          <w:color w:val="auto"/>
          <w:sz w:val="24"/>
          <w:szCs w:val="20"/>
          <w:highlight w:val="none"/>
        </w:rPr>
      </w:pPr>
      <w:r>
        <w:rPr>
          <w:rFonts w:hint="eastAsia"/>
          <w:b/>
          <w:color w:val="auto"/>
          <w:sz w:val="24"/>
          <w:szCs w:val="20"/>
          <w:highlight w:val="none"/>
        </w:rPr>
        <w:t>（三）投标货币</w:t>
      </w:r>
    </w:p>
    <w:p>
      <w:pPr>
        <w:spacing w:line="460" w:lineRule="exact"/>
        <w:ind w:firstLine="420" w:firstLineChars="200"/>
        <w:outlineLvl w:val="0"/>
        <w:rPr>
          <w:color w:val="auto"/>
          <w:szCs w:val="21"/>
          <w:highlight w:val="none"/>
        </w:rPr>
      </w:pPr>
      <w:r>
        <w:rPr>
          <w:rFonts w:hint="eastAsia"/>
          <w:color w:val="auto"/>
          <w:szCs w:val="21"/>
          <w:highlight w:val="none"/>
        </w:rPr>
        <w:t>投标报价中的单价和合价全部采用人民币表示。如果数字表示的金额和用文字表示的金额不一致时，应以文字表示的金额为准；合价金额与单价金额和工程量的乘积不一致的，以总价金额为准，但总价金额小数点有明显错误的除外。</w:t>
      </w:r>
    </w:p>
    <w:p>
      <w:pPr>
        <w:pStyle w:val="3"/>
        <w:rPr>
          <w:color w:val="auto"/>
          <w:highlight w:val="none"/>
        </w:rPr>
      </w:pPr>
      <w:bookmarkStart w:id="9" w:name="_Toc287708706"/>
      <w:r>
        <w:rPr>
          <w:rFonts w:hint="eastAsia"/>
          <w:color w:val="auto"/>
          <w:highlight w:val="none"/>
        </w:rPr>
        <w:t>四、投标文件的编制</w:t>
      </w:r>
      <w:bookmarkEnd w:id="9"/>
    </w:p>
    <w:p>
      <w:pPr>
        <w:spacing w:line="460" w:lineRule="exact"/>
        <w:ind w:firstLine="420" w:firstLineChars="200"/>
        <w:outlineLvl w:val="0"/>
        <w:rPr>
          <w:color w:val="auto"/>
          <w:szCs w:val="21"/>
          <w:highlight w:val="none"/>
        </w:rPr>
      </w:pPr>
      <w:r>
        <w:rPr>
          <w:rFonts w:hint="eastAsia"/>
          <w:color w:val="auto"/>
          <w:szCs w:val="21"/>
          <w:highlight w:val="none"/>
        </w:rPr>
        <w:t>投标人应仔细阅读招标文件中的所有内容，按照招标文件及招标材料的要求，详细编写投标文件，并保证投标文件正确性和真实性。如果投标人的投标文件及其他条件不能满足本招标文件的实质性要求，招标人在任何环节可拒绝其投标或作废标处理，责任由投标单位自负。投标文件及招、投标人之间的交换文件、信函均以中文编写。除技术规格中另有规定外，计量单位应使用法定计量单位。</w:t>
      </w:r>
    </w:p>
    <w:p>
      <w:pPr>
        <w:spacing w:line="460" w:lineRule="exact"/>
        <w:ind w:firstLine="482" w:firstLineChars="200"/>
        <w:outlineLvl w:val="0"/>
        <w:rPr>
          <w:b/>
          <w:color w:val="auto"/>
          <w:sz w:val="24"/>
          <w:szCs w:val="20"/>
          <w:highlight w:val="none"/>
        </w:rPr>
      </w:pPr>
      <w:r>
        <w:rPr>
          <w:rFonts w:hint="eastAsia"/>
          <w:b/>
          <w:color w:val="auto"/>
          <w:sz w:val="24"/>
          <w:szCs w:val="20"/>
          <w:highlight w:val="none"/>
        </w:rPr>
        <w:t>（一）投标文件的组成</w:t>
      </w:r>
    </w:p>
    <w:p>
      <w:pPr>
        <w:spacing w:line="460" w:lineRule="exact"/>
        <w:ind w:firstLine="420" w:firstLineChars="200"/>
        <w:outlineLvl w:val="0"/>
        <w:rPr>
          <w:color w:val="auto"/>
          <w:szCs w:val="21"/>
          <w:highlight w:val="none"/>
        </w:rPr>
      </w:pPr>
      <w:r>
        <w:rPr>
          <w:rFonts w:hint="eastAsia"/>
          <w:color w:val="auto"/>
          <w:szCs w:val="21"/>
          <w:highlight w:val="none"/>
        </w:rPr>
        <w:t>投标单位投标文件应包括商务标、技术资信标和电子光盘。</w:t>
      </w:r>
    </w:p>
    <w:p>
      <w:pPr>
        <w:spacing w:line="460" w:lineRule="exact"/>
        <w:ind w:firstLine="422" w:firstLineChars="200"/>
        <w:outlineLvl w:val="0"/>
        <w:rPr>
          <w:b/>
          <w:bCs/>
          <w:color w:val="auto"/>
          <w:szCs w:val="21"/>
          <w:highlight w:val="none"/>
        </w:rPr>
      </w:pPr>
      <w:r>
        <w:rPr>
          <w:rFonts w:hint="eastAsia"/>
          <w:b/>
          <w:bCs/>
          <w:color w:val="auto"/>
          <w:szCs w:val="21"/>
          <w:highlight w:val="none"/>
        </w:rPr>
        <w:t>1）商务标包括：</w:t>
      </w:r>
    </w:p>
    <w:p>
      <w:pPr>
        <w:pStyle w:val="25"/>
        <w:spacing w:line="360" w:lineRule="auto"/>
        <w:ind w:left="420"/>
        <w:rPr>
          <w:rFonts w:hAnsi="宋体"/>
          <w:color w:val="auto"/>
          <w:highlight w:val="none"/>
        </w:rPr>
      </w:pPr>
      <w:r>
        <w:rPr>
          <w:rFonts w:hAnsi="宋体"/>
          <w:color w:val="auto"/>
          <w:highlight w:val="none"/>
        </w:rPr>
        <w:t>1.</w:t>
      </w:r>
      <w:r>
        <w:rPr>
          <w:rFonts w:hint="eastAsia" w:hAnsi="宋体"/>
          <w:color w:val="auto"/>
          <w:highlight w:val="none"/>
        </w:rPr>
        <w:t xml:space="preserve">投标函  </w:t>
      </w:r>
    </w:p>
    <w:p>
      <w:pPr>
        <w:pStyle w:val="25"/>
        <w:spacing w:line="360" w:lineRule="auto"/>
        <w:ind w:left="420"/>
        <w:rPr>
          <w:rFonts w:hAnsi="宋体"/>
          <w:color w:val="auto"/>
          <w:highlight w:val="none"/>
        </w:rPr>
      </w:pPr>
      <w:r>
        <w:rPr>
          <w:rFonts w:hint="eastAsia" w:hAnsi="宋体"/>
          <w:color w:val="auto"/>
          <w:highlight w:val="none"/>
        </w:rPr>
        <w:t>2</w:t>
      </w:r>
      <w:r>
        <w:rPr>
          <w:rFonts w:hAnsi="宋体"/>
          <w:color w:val="auto"/>
          <w:highlight w:val="none"/>
        </w:rPr>
        <w:t>.</w:t>
      </w:r>
      <w:r>
        <w:rPr>
          <w:rFonts w:hint="eastAsia" w:hAnsi="宋体"/>
          <w:color w:val="auto"/>
          <w:highlight w:val="none"/>
        </w:rPr>
        <w:t>分项报价表</w:t>
      </w:r>
    </w:p>
    <w:p>
      <w:pPr>
        <w:pStyle w:val="25"/>
        <w:spacing w:line="360" w:lineRule="auto"/>
        <w:ind w:left="420"/>
        <w:rPr>
          <w:rFonts w:hAnsi="宋体"/>
          <w:color w:val="auto"/>
          <w:highlight w:val="none"/>
        </w:rPr>
      </w:pPr>
      <w:r>
        <w:rPr>
          <w:rFonts w:hAnsi="宋体"/>
          <w:color w:val="auto"/>
          <w:highlight w:val="none"/>
        </w:rPr>
        <w:t>3.</w:t>
      </w:r>
      <w:r>
        <w:rPr>
          <w:rFonts w:hint="eastAsia" w:hAnsi="宋体"/>
          <w:color w:val="auto"/>
          <w:highlight w:val="none"/>
        </w:rPr>
        <w:t>工程量清单（自行编制）</w:t>
      </w:r>
    </w:p>
    <w:p>
      <w:pPr>
        <w:pStyle w:val="25"/>
        <w:spacing w:line="360" w:lineRule="auto"/>
        <w:rPr>
          <w:rFonts w:hAnsi="宋体"/>
          <w:color w:val="auto"/>
          <w:highlight w:val="none"/>
        </w:rPr>
      </w:pPr>
      <w:r>
        <w:rPr>
          <w:rFonts w:hint="eastAsia" w:hAnsi="宋体"/>
          <w:color w:val="auto"/>
          <w:highlight w:val="none"/>
        </w:rPr>
        <w:t xml:space="preserve">    </w:t>
      </w:r>
      <w:r>
        <w:rPr>
          <w:rFonts w:hAnsi="宋体"/>
          <w:color w:val="auto"/>
          <w:highlight w:val="none"/>
        </w:rPr>
        <w:t>4.</w:t>
      </w:r>
      <w:r>
        <w:rPr>
          <w:rFonts w:hint="eastAsia" w:hAnsi="宋体"/>
          <w:color w:val="auto"/>
          <w:highlight w:val="none"/>
        </w:rPr>
        <w:t>法定代表人资格证明书（或</w:t>
      </w:r>
      <w:r>
        <w:rPr>
          <w:rFonts w:hint="eastAsia"/>
          <w:color w:val="auto"/>
          <w:highlight w:val="none"/>
        </w:rPr>
        <w:t>授权委托书）</w:t>
      </w:r>
    </w:p>
    <w:p>
      <w:pPr>
        <w:spacing w:line="460" w:lineRule="exact"/>
        <w:ind w:firstLine="422" w:firstLineChars="200"/>
        <w:outlineLvl w:val="0"/>
        <w:rPr>
          <w:b/>
          <w:bCs/>
          <w:color w:val="auto"/>
          <w:szCs w:val="21"/>
          <w:highlight w:val="none"/>
        </w:rPr>
      </w:pPr>
      <w:r>
        <w:rPr>
          <w:rFonts w:hint="eastAsia"/>
          <w:b/>
          <w:bCs/>
          <w:color w:val="auto"/>
          <w:szCs w:val="21"/>
          <w:highlight w:val="none"/>
        </w:rPr>
        <w:t>2）技术资信标包括：</w:t>
      </w:r>
    </w:p>
    <w:p>
      <w:pPr>
        <w:pStyle w:val="25"/>
        <w:numPr>
          <w:ilvl w:val="0"/>
          <w:numId w:val="16"/>
        </w:numPr>
        <w:spacing w:line="360" w:lineRule="auto"/>
        <w:ind w:left="420"/>
        <w:rPr>
          <w:color w:val="auto"/>
          <w:szCs w:val="21"/>
          <w:highlight w:val="none"/>
        </w:rPr>
      </w:pPr>
      <w:r>
        <w:rPr>
          <w:rFonts w:hint="eastAsia"/>
          <w:color w:val="auto"/>
          <w:szCs w:val="21"/>
          <w:highlight w:val="none"/>
        </w:rPr>
        <w:t>编制依据及原则</w:t>
      </w:r>
    </w:p>
    <w:p>
      <w:pPr>
        <w:pStyle w:val="25"/>
        <w:numPr>
          <w:ilvl w:val="0"/>
          <w:numId w:val="16"/>
        </w:numPr>
        <w:spacing w:line="360" w:lineRule="auto"/>
        <w:ind w:left="420"/>
        <w:rPr>
          <w:color w:val="auto"/>
          <w:szCs w:val="21"/>
          <w:highlight w:val="none"/>
        </w:rPr>
      </w:pPr>
      <w:r>
        <w:rPr>
          <w:rFonts w:hint="eastAsia"/>
          <w:color w:val="auto"/>
          <w:szCs w:val="21"/>
          <w:highlight w:val="none"/>
        </w:rPr>
        <w:t>工程概况</w:t>
      </w:r>
    </w:p>
    <w:p>
      <w:pPr>
        <w:pStyle w:val="25"/>
        <w:numPr>
          <w:ilvl w:val="0"/>
          <w:numId w:val="16"/>
        </w:numPr>
        <w:spacing w:line="360" w:lineRule="auto"/>
        <w:ind w:left="420"/>
        <w:rPr>
          <w:color w:val="auto"/>
          <w:szCs w:val="21"/>
          <w:highlight w:val="none"/>
        </w:rPr>
      </w:pPr>
      <w:r>
        <w:rPr>
          <w:rFonts w:hint="eastAsia"/>
          <w:color w:val="auto"/>
          <w:szCs w:val="21"/>
          <w:highlight w:val="none"/>
        </w:rPr>
        <w:t>项目设计方案</w:t>
      </w:r>
    </w:p>
    <w:p>
      <w:pPr>
        <w:pStyle w:val="25"/>
        <w:numPr>
          <w:ilvl w:val="0"/>
          <w:numId w:val="16"/>
        </w:numPr>
        <w:spacing w:line="360" w:lineRule="auto"/>
        <w:ind w:left="420"/>
        <w:rPr>
          <w:color w:val="auto"/>
          <w:szCs w:val="21"/>
          <w:highlight w:val="none"/>
        </w:rPr>
      </w:pPr>
      <w:r>
        <w:rPr>
          <w:rFonts w:hint="eastAsia"/>
          <w:color w:val="auto"/>
          <w:szCs w:val="21"/>
          <w:highlight w:val="none"/>
        </w:rPr>
        <w:t>施工方案（包含各分部、分项工程特别是关键工序的完整的施工方案；总进度计划表及施工网络图和保证进度具体措施、施工组织设计等）</w:t>
      </w:r>
    </w:p>
    <w:p>
      <w:pPr>
        <w:pStyle w:val="25"/>
        <w:numPr>
          <w:ilvl w:val="0"/>
          <w:numId w:val="16"/>
        </w:numPr>
        <w:spacing w:line="360" w:lineRule="auto"/>
        <w:ind w:left="420"/>
        <w:rPr>
          <w:color w:val="auto"/>
          <w:szCs w:val="21"/>
          <w:highlight w:val="none"/>
        </w:rPr>
      </w:pPr>
      <w:r>
        <w:rPr>
          <w:rFonts w:hint="eastAsia"/>
          <w:color w:val="auto"/>
          <w:szCs w:val="21"/>
          <w:highlight w:val="none"/>
        </w:rPr>
        <w:t>主要材料、设备的技术标准、参数</w:t>
      </w:r>
    </w:p>
    <w:p>
      <w:pPr>
        <w:pStyle w:val="25"/>
        <w:numPr>
          <w:ilvl w:val="0"/>
          <w:numId w:val="16"/>
        </w:numPr>
        <w:spacing w:line="360" w:lineRule="auto"/>
        <w:ind w:left="420"/>
        <w:rPr>
          <w:rFonts w:hAnsi="宋体"/>
          <w:color w:val="auto"/>
          <w:highlight w:val="none"/>
        </w:rPr>
      </w:pPr>
      <w:r>
        <w:rPr>
          <w:rFonts w:hint="eastAsia"/>
          <w:color w:val="auto"/>
          <w:szCs w:val="21"/>
          <w:highlight w:val="none"/>
        </w:rPr>
        <w:t>保证安全、质量、工期、文明施工和环保等的技术措施、组织措施、方法和控制措</w:t>
      </w:r>
      <w:r>
        <w:rPr>
          <w:rFonts w:hint="eastAsia" w:hAnsi="宋体"/>
          <w:color w:val="auto"/>
          <w:highlight w:val="none"/>
        </w:rPr>
        <w:t>施</w:t>
      </w:r>
    </w:p>
    <w:p>
      <w:pPr>
        <w:pStyle w:val="25"/>
        <w:numPr>
          <w:ilvl w:val="0"/>
          <w:numId w:val="16"/>
        </w:numPr>
        <w:spacing w:line="360" w:lineRule="auto"/>
        <w:ind w:left="420"/>
        <w:rPr>
          <w:color w:val="auto"/>
          <w:szCs w:val="21"/>
          <w:highlight w:val="none"/>
        </w:rPr>
      </w:pPr>
      <w:r>
        <w:rPr>
          <w:rFonts w:hint="eastAsia"/>
          <w:color w:val="auto"/>
          <w:szCs w:val="21"/>
          <w:highlight w:val="none"/>
        </w:rPr>
        <w:t>投标人基本情况一览表</w:t>
      </w:r>
    </w:p>
    <w:p>
      <w:pPr>
        <w:pStyle w:val="25"/>
        <w:spacing w:line="360" w:lineRule="auto"/>
        <w:ind w:left="420"/>
        <w:rPr>
          <w:rFonts w:hAnsi="宋体"/>
          <w:color w:val="auto"/>
          <w:highlight w:val="none"/>
        </w:rPr>
      </w:pPr>
      <w:r>
        <w:rPr>
          <w:rFonts w:hAnsi="宋体"/>
          <w:color w:val="auto"/>
          <w:highlight w:val="none"/>
        </w:rPr>
        <w:t>8</w:t>
      </w:r>
      <w:r>
        <w:rPr>
          <w:rFonts w:hint="eastAsia" w:hAnsi="宋体"/>
          <w:color w:val="auto"/>
          <w:highlight w:val="none"/>
        </w:rPr>
        <w:t xml:space="preserve">.派驻现场的主要施工管理人员表                                       </w:t>
      </w:r>
    </w:p>
    <w:p>
      <w:pPr>
        <w:widowControl/>
        <w:tabs>
          <w:tab w:val="left" w:pos="3780"/>
        </w:tabs>
        <w:spacing w:line="360" w:lineRule="auto"/>
        <w:ind w:firstLine="420"/>
        <w:jc w:val="left"/>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 xml:space="preserve">.主要劳动力配备计划表             </w:t>
      </w:r>
      <w:r>
        <w:rPr>
          <w:rFonts w:ascii="宋体" w:hAnsi="宋体"/>
          <w:color w:val="auto"/>
          <w:szCs w:val="21"/>
          <w:highlight w:val="none"/>
        </w:rPr>
        <w:t xml:space="preserve">                       </w:t>
      </w:r>
      <w:r>
        <w:rPr>
          <w:rFonts w:hint="eastAsia" w:ascii="宋体" w:hAnsi="宋体"/>
          <w:color w:val="auto"/>
          <w:szCs w:val="21"/>
          <w:highlight w:val="none"/>
        </w:rPr>
        <w:t xml:space="preserve">          </w:t>
      </w:r>
    </w:p>
    <w:p>
      <w:pPr>
        <w:widowControl/>
        <w:tabs>
          <w:tab w:val="left" w:pos="3780"/>
        </w:tabs>
        <w:spacing w:line="360" w:lineRule="auto"/>
        <w:ind w:firstLine="420"/>
        <w:jc w:val="left"/>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w:t>
      </w:r>
      <w:r>
        <w:rPr>
          <w:rFonts w:hint="eastAsia" w:ascii="宋体" w:hAnsi="宋体"/>
          <w:color w:val="auto"/>
          <w:szCs w:val="20"/>
          <w:highlight w:val="none"/>
        </w:rPr>
        <w:t xml:space="preserve">主要投标材料、设备清单                                            </w:t>
      </w:r>
    </w:p>
    <w:p>
      <w:pPr>
        <w:widowControl/>
        <w:tabs>
          <w:tab w:val="left" w:pos="3780"/>
        </w:tabs>
        <w:spacing w:line="360" w:lineRule="auto"/>
        <w:jc w:val="left"/>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11</w:t>
      </w:r>
      <w:r>
        <w:rPr>
          <w:rFonts w:hint="eastAsia" w:ascii="宋体" w:hAnsi="宋体"/>
          <w:color w:val="auto"/>
          <w:szCs w:val="21"/>
          <w:highlight w:val="none"/>
        </w:rPr>
        <w:t xml:space="preserve">.资格审查资料                                                      </w:t>
      </w:r>
    </w:p>
    <w:p>
      <w:pPr>
        <w:widowControl/>
        <w:tabs>
          <w:tab w:val="left" w:pos="3780"/>
        </w:tabs>
        <w:spacing w:line="360" w:lineRule="auto"/>
        <w:ind w:firstLine="420"/>
        <w:jc w:val="left"/>
        <w:rPr>
          <w:color w:val="auto"/>
          <w:highlight w:val="none"/>
        </w:rPr>
      </w:pPr>
      <w:r>
        <w:rPr>
          <w:rFonts w:ascii="宋体" w:hAnsi="宋体"/>
          <w:color w:val="auto"/>
          <w:szCs w:val="21"/>
          <w:highlight w:val="none"/>
        </w:rPr>
        <w:t>12</w:t>
      </w:r>
      <w:r>
        <w:rPr>
          <w:rFonts w:hint="eastAsia" w:ascii="宋体" w:hAnsi="宋体"/>
          <w:color w:val="auto"/>
          <w:szCs w:val="21"/>
          <w:highlight w:val="none"/>
        </w:rPr>
        <w:t xml:space="preserve">.  合同条款确认函                                                                                                          </w:t>
      </w:r>
    </w:p>
    <w:p>
      <w:pPr>
        <w:spacing w:line="460" w:lineRule="exact"/>
        <w:outlineLvl w:val="0"/>
        <w:rPr>
          <w:color w:val="auto"/>
          <w:szCs w:val="21"/>
          <w:highlight w:val="none"/>
        </w:rPr>
      </w:pPr>
      <w:r>
        <w:rPr>
          <w:rFonts w:hint="eastAsia"/>
          <w:b/>
          <w:bCs/>
          <w:color w:val="auto"/>
          <w:szCs w:val="21"/>
          <w:highlight w:val="none"/>
        </w:rPr>
        <w:t xml:space="preserve">    3）电子光盘：</w:t>
      </w:r>
      <w:r>
        <w:rPr>
          <w:rFonts w:hint="eastAsia"/>
          <w:color w:val="auto"/>
          <w:szCs w:val="21"/>
          <w:highlight w:val="none"/>
        </w:rPr>
        <w:t>应包括投标文件正本的全部内容。如电子光盘中的内容与纸质文件中的内容不相符时，以纸质文件内容为准。</w:t>
      </w:r>
    </w:p>
    <w:p>
      <w:pPr>
        <w:spacing w:line="460" w:lineRule="exact"/>
        <w:ind w:firstLine="482" w:firstLineChars="200"/>
        <w:outlineLvl w:val="0"/>
        <w:rPr>
          <w:b/>
          <w:color w:val="auto"/>
          <w:sz w:val="24"/>
          <w:szCs w:val="20"/>
          <w:highlight w:val="none"/>
        </w:rPr>
      </w:pPr>
      <w:r>
        <w:rPr>
          <w:rFonts w:hint="eastAsia"/>
          <w:b/>
          <w:color w:val="auto"/>
          <w:sz w:val="24"/>
          <w:szCs w:val="20"/>
          <w:highlight w:val="none"/>
        </w:rPr>
        <w:t>（二）投标文件格式要求</w:t>
      </w:r>
    </w:p>
    <w:p>
      <w:pPr>
        <w:spacing w:line="460" w:lineRule="exact"/>
        <w:ind w:firstLine="420" w:firstLineChars="200"/>
        <w:outlineLvl w:val="0"/>
        <w:rPr>
          <w:color w:val="auto"/>
          <w:szCs w:val="21"/>
          <w:highlight w:val="none"/>
        </w:rPr>
      </w:pPr>
      <w:r>
        <w:rPr>
          <w:rFonts w:hint="eastAsia"/>
          <w:color w:val="auto"/>
          <w:szCs w:val="21"/>
          <w:highlight w:val="none"/>
        </w:rPr>
        <w:t>1）投标单位应使用招标文件中提供的附表格式。表格如不够用时，可以按同样格式扩展。</w:t>
      </w:r>
    </w:p>
    <w:p>
      <w:pPr>
        <w:spacing w:line="460" w:lineRule="exact"/>
        <w:ind w:firstLine="420" w:firstLineChars="200"/>
        <w:outlineLvl w:val="0"/>
        <w:rPr>
          <w:color w:val="auto"/>
          <w:szCs w:val="21"/>
          <w:highlight w:val="none"/>
        </w:rPr>
      </w:pPr>
      <w:r>
        <w:rPr>
          <w:rFonts w:hint="eastAsia"/>
          <w:color w:val="auto"/>
          <w:szCs w:val="21"/>
          <w:highlight w:val="none"/>
        </w:rPr>
        <w:t>2）投标函为在开标仪式上唱标的内容，投标方需按格式填写、统一规范，不得自行增减内容。</w:t>
      </w:r>
    </w:p>
    <w:p>
      <w:pPr>
        <w:spacing w:line="460" w:lineRule="exact"/>
        <w:ind w:firstLine="420" w:firstLineChars="200"/>
        <w:outlineLvl w:val="0"/>
        <w:rPr>
          <w:color w:val="auto"/>
          <w:szCs w:val="21"/>
          <w:highlight w:val="none"/>
        </w:rPr>
      </w:pPr>
      <w:r>
        <w:rPr>
          <w:rFonts w:hint="eastAsia"/>
          <w:color w:val="auto"/>
          <w:szCs w:val="21"/>
          <w:highlight w:val="none"/>
        </w:rPr>
        <w:t>3）投标文件不得出现散页，否则由引起的后果由投标人自负</w:t>
      </w:r>
    </w:p>
    <w:p>
      <w:pPr>
        <w:spacing w:line="460" w:lineRule="exact"/>
        <w:ind w:firstLine="482" w:firstLineChars="200"/>
        <w:outlineLvl w:val="0"/>
        <w:rPr>
          <w:b/>
          <w:color w:val="auto"/>
          <w:sz w:val="24"/>
          <w:szCs w:val="20"/>
          <w:highlight w:val="none"/>
        </w:rPr>
      </w:pPr>
      <w:r>
        <w:rPr>
          <w:rFonts w:hint="eastAsia"/>
          <w:b/>
          <w:color w:val="auto"/>
          <w:sz w:val="24"/>
          <w:szCs w:val="20"/>
          <w:highlight w:val="none"/>
        </w:rPr>
        <w:t>（三）投标保证金</w:t>
      </w:r>
    </w:p>
    <w:p>
      <w:pPr>
        <w:tabs>
          <w:tab w:val="left" w:pos="1000"/>
        </w:tabs>
        <w:spacing w:line="48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、投标单位应按前附表中规定数额和时间提交投标保证金至</w:t>
      </w:r>
      <w:r>
        <w:rPr>
          <w:rFonts w:hint="eastAsia" w:ascii="宋体" w:hAnsi="宋体"/>
          <w:bCs/>
          <w:color w:val="auto"/>
          <w:szCs w:val="21"/>
          <w:highlight w:val="none"/>
          <w:u w:val="single"/>
        </w:rPr>
        <w:t>浙江建航工程咨询有限公司</w:t>
      </w:r>
      <w:r>
        <w:rPr>
          <w:rFonts w:hint="eastAsia" w:ascii="宋体" w:hAnsi="宋体"/>
          <w:color w:val="auto"/>
          <w:szCs w:val="21"/>
          <w:highlight w:val="none"/>
        </w:rPr>
        <w:t>，此投标保证金是投标文件的一个组成部分。</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收款单位名称：浙江建航工程咨询有限公司</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开户行：浙江丽水莲都农村商业银行股份有限公司营业部</w:t>
      </w:r>
    </w:p>
    <w:p>
      <w:pPr>
        <w:tabs>
          <w:tab w:val="left" w:pos="100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银行帐号：</w:t>
      </w:r>
      <w:r>
        <w:rPr>
          <w:rFonts w:ascii="宋体" w:hAnsi="宋体"/>
          <w:color w:val="auto"/>
          <w:szCs w:val="21"/>
          <w:highlight w:val="none"/>
        </w:rPr>
        <w:t>2010 0009 8466 491</w:t>
      </w:r>
      <w:r>
        <w:rPr>
          <w:rFonts w:hint="eastAsia" w:ascii="宋体" w:hAnsi="宋体"/>
          <w:color w:val="auto"/>
          <w:szCs w:val="21"/>
          <w:highlight w:val="none"/>
        </w:rPr>
        <w:t xml:space="preserve"> </w:t>
      </w:r>
    </w:p>
    <w:p>
      <w:pPr>
        <w:spacing w:line="460" w:lineRule="exact"/>
        <w:ind w:firstLine="422" w:firstLineChars="200"/>
        <w:rPr>
          <w:rFonts w:ascii="宋体" w:hAnsi="宋体"/>
          <w:color w:val="auto"/>
          <w:szCs w:val="21"/>
          <w:highlight w:val="none"/>
        </w:rPr>
      </w:pPr>
      <w:r>
        <w:rPr>
          <w:rFonts w:ascii="宋体" w:hAnsi="宋体"/>
          <w:b/>
          <w:bCs/>
          <w:color w:val="auto"/>
          <w:szCs w:val="21"/>
          <w:highlight w:val="none"/>
          <w:u w:val="wavyHeavy"/>
        </w:rPr>
        <w:t>2</w:t>
      </w:r>
      <w:r>
        <w:rPr>
          <w:rFonts w:hint="eastAsia" w:ascii="宋体" w:hAnsi="宋体"/>
          <w:b/>
          <w:bCs/>
          <w:color w:val="auto"/>
          <w:szCs w:val="21"/>
          <w:highlight w:val="none"/>
          <w:u w:val="wavyHeavy"/>
        </w:rPr>
        <w:t>、投标保证金以银行电汇或转账的形式提交。</w:t>
      </w:r>
    </w:p>
    <w:p>
      <w:pPr>
        <w:spacing w:line="46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、对于未能按要求提交投标保证金的，招标单位将视为不响应招标文件而拒绝。</w:t>
      </w:r>
    </w:p>
    <w:p>
      <w:pPr>
        <w:spacing w:line="46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、未中标的投标单位的投标保证金将在定标后5日内按规定退还。</w:t>
      </w:r>
    </w:p>
    <w:p>
      <w:pPr>
        <w:spacing w:line="460" w:lineRule="exact"/>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、中标人的投标保证金在中标人与招标人签定合同后按规定退还。</w:t>
      </w:r>
    </w:p>
    <w:p>
      <w:pPr>
        <w:spacing w:line="460" w:lineRule="exact"/>
        <w:ind w:firstLine="420" w:firstLineChars="200"/>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、如果投标单位有下列情况，投标保证金将不予退还。给招标人造成的损失超过投标保证金金额的，投标人还应当对超过部分给予赔偿。</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①</w:t>
      </w:r>
      <w:r>
        <w:rPr>
          <w:rFonts w:hint="eastAsia"/>
          <w:color w:val="auto"/>
          <w:szCs w:val="21"/>
          <w:highlight w:val="none"/>
        </w:rPr>
        <w:t>投标单位在</w:t>
      </w:r>
      <w:r>
        <w:rPr>
          <w:rFonts w:hint="eastAsia" w:hAnsi="宋体"/>
          <w:color w:val="auto"/>
          <w:szCs w:val="21"/>
          <w:highlight w:val="none"/>
        </w:rPr>
        <w:t>投标有效期内</w:t>
      </w:r>
      <w:r>
        <w:rPr>
          <w:rFonts w:hint="eastAsia"/>
          <w:color w:val="auto"/>
          <w:szCs w:val="21"/>
          <w:highlight w:val="none"/>
        </w:rPr>
        <w:t>撤回其投标文件</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② 中标单位未能在规定期限内签署合同协议。</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③ 投标单位有不真实投标或违法违规行为。</w:t>
      </w:r>
    </w:p>
    <w:p>
      <w:pPr>
        <w:spacing w:line="460" w:lineRule="exact"/>
        <w:ind w:firstLine="482" w:firstLineChars="200"/>
        <w:outlineLvl w:val="0"/>
        <w:rPr>
          <w:b/>
          <w:color w:val="auto"/>
          <w:sz w:val="24"/>
          <w:szCs w:val="20"/>
          <w:highlight w:val="none"/>
        </w:rPr>
      </w:pPr>
      <w:r>
        <w:rPr>
          <w:rFonts w:hint="eastAsia"/>
          <w:b/>
          <w:color w:val="auto"/>
          <w:sz w:val="24"/>
          <w:szCs w:val="20"/>
          <w:highlight w:val="none"/>
        </w:rPr>
        <w:t>（四）投标预备会及现场勘察</w:t>
      </w:r>
    </w:p>
    <w:p>
      <w:pPr>
        <w:spacing w:line="46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l、</w:t>
      </w:r>
      <w:r>
        <w:rPr>
          <w:rFonts w:hint="eastAsia" w:hAnsi="宋体"/>
          <w:color w:val="auto"/>
          <w:szCs w:val="21"/>
          <w:highlight w:val="none"/>
        </w:rPr>
        <w:t>投标人统一组织现场踏勘，现场勘察时间另行通知，费用自理。</w:t>
      </w:r>
    </w:p>
    <w:p>
      <w:pPr>
        <w:spacing w:line="46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2、招标单位向投标单位提供的有关施工现场的资料和数据，是招标单位现有的能使投标单位利用的资料。招标单位对投标单位由此而作出的推论、理解、结论概不负责。</w:t>
      </w:r>
    </w:p>
    <w:p>
      <w:pPr>
        <w:spacing w:line="460" w:lineRule="exact"/>
        <w:ind w:firstLine="482" w:firstLineChars="200"/>
        <w:outlineLvl w:val="0"/>
        <w:rPr>
          <w:b/>
          <w:color w:val="auto"/>
          <w:sz w:val="24"/>
          <w:szCs w:val="20"/>
          <w:highlight w:val="none"/>
        </w:rPr>
      </w:pPr>
      <w:r>
        <w:rPr>
          <w:rFonts w:hint="eastAsia"/>
          <w:b/>
          <w:color w:val="auto"/>
          <w:sz w:val="24"/>
          <w:szCs w:val="20"/>
          <w:highlight w:val="none"/>
        </w:rPr>
        <w:t>（五）投标文件的份数和签署</w:t>
      </w:r>
    </w:p>
    <w:p>
      <w:pPr>
        <w:spacing w:line="46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1、投标单位按前附表规定的份数，编制投标文件“正本”和“副本”，并在封面上注明“正本”和“副本”。投标文件“正本”和“副本”如有不一致之处，以“正本”为准。</w:t>
      </w:r>
    </w:p>
    <w:p>
      <w:pPr>
        <w:spacing w:line="460" w:lineRule="exact"/>
        <w:ind w:firstLine="420" w:firstLineChars="200"/>
        <w:outlineLvl w:val="0"/>
        <w:rPr>
          <w:rFonts w:ascii="宋体" w:hAnsi="宋体"/>
          <w:b/>
          <w:color w:val="auto"/>
          <w:szCs w:val="21"/>
          <w:highlight w:val="none"/>
          <w:u w:val="single"/>
        </w:rPr>
      </w:pPr>
      <w:r>
        <w:rPr>
          <w:rFonts w:hint="eastAsia" w:ascii="宋体" w:hAnsi="宋体"/>
          <w:color w:val="auto"/>
          <w:szCs w:val="21"/>
          <w:highlight w:val="none"/>
        </w:rPr>
        <w:t>2、</w:t>
      </w:r>
      <w:r>
        <w:rPr>
          <w:rFonts w:hint="eastAsia" w:ascii="宋体" w:hAnsi="宋体"/>
          <w:b/>
          <w:color w:val="auto"/>
          <w:szCs w:val="21"/>
          <w:highlight w:val="none"/>
          <w:u w:val="single"/>
        </w:rPr>
        <w:t>投标文件“正本”与“副本”均要求打印，封面由投标单位法定代表人签署（或加盖印章）并加盖单位公章。</w:t>
      </w:r>
    </w:p>
    <w:p>
      <w:pPr>
        <w:spacing w:line="46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3、全套投标文件应无涂改和行间插字，除非是这些删改是根据招标单位的指示进行的，或者投标单位造成的必须修改的错误。修改处应由投标人法定代表人或其授权委托人签字证明并加盖单位公章。</w:t>
      </w:r>
    </w:p>
    <w:p>
      <w:pPr>
        <w:pStyle w:val="3"/>
        <w:rPr>
          <w:color w:val="auto"/>
          <w:highlight w:val="none"/>
        </w:rPr>
      </w:pPr>
      <w:bookmarkStart w:id="10" w:name="_Toc287708707"/>
      <w:r>
        <w:rPr>
          <w:rFonts w:hint="eastAsia"/>
          <w:color w:val="auto"/>
          <w:highlight w:val="none"/>
        </w:rPr>
        <w:t>五、投标文件的递交</w:t>
      </w:r>
      <w:bookmarkEnd w:id="10"/>
    </w:p>
    <w:p>
      <w:pPr>
        <w:numPr>
          <w:ilvl w:val="0"/>
          <w:numId w:val="17"/>
        </w:numPr>
        <w:spacing w:line="460" w:lineRule="exact"/>
        <w:outlineLvl w:val="0"/>
        <w:rPr>
          <w:b/>
          <w:color w:val="auto"/>
          <w:sz w:val="24"/>
          <w:szCs w:val="20"/>
          <w:highlight w:val="none"/>
        </w:rPr>
      </w:pPr>
      <w:r>
        <w:rPr>
          <w:rFonts w:hint="eastAsia"/>
          <w:b/>
          <w:color w:val="auto"/>
          <w:sz w:val="24"/>
          <w:szCs w:val="20"/>
          <w:highlight w:val="none"/>
        </w:rPr>
        <w:t>投标文件的密封与标志</w:t>
      </w:r>
    </w:p>
    <w:p>
      <w:pPr>
        <w:spacing w:line="460" w:lineRule="exact"/>
        <w:ind w:firstLine="422" w:firstLineChars="200"/>
        <w:outlineLvl w:val="0"/>
        <w:rPr>
          <w:b/>
          <w:color w:val="auto"/>
          <w:szCs w:val="21"/>
          <w:highlight w:val="none"/>
        </w:rPr>
      </w:pPr>
      <w:r>
        <w:rPr>
          <w:rFonts w:hint="eastAsia"/>
          <w:b/>
          <w:color w:val="auto"/>
          <w:szCs w:val="21"/>
          <w:highlight w:val="none"/>
          <w:u w:val="single"/>
        </w:rPr>
        <w:t>包封都应写明招标单位和工程名称及投标单位名称，并加盖公章、法定代表人印章</w:t>
      </w:r>
      <w:r>
        <w:rPr>
          <w:rFonts w:hint="eastAsia"/>
          <w:b/>
          <w:color w:val="auto"/>
          <w:szCs w:val="21"/>
          <w:highlight w:val="none"/>
        </w:rPr>
        <w:t>。</w:t>
      </w:r>
    </w:p>
    <w:p>
      <w:pPr>
        <w:spacing w:line="460" w:lineRule="exact"/>
        <w:ind w:firstLine="482" w:firstLineChars="200"/>
        <w:outlineLvl w:val="0"/>
        <w:rPr>
          <w:b/>
          <w:color w:val="auto"/>
          <w:sz w:val="24"/>
          <w:szCs w:val="20"/>
          <w:highlight w:val="none"/>
        </w:rPr>
      </w:pPr>
      <w:r>
        <w:rPr>
          <w:rFonts w:hint="eastAsia"/>
          <w:b/>
          <w:color w:val="auto"/>
          <w:sz w:val="24"/>
          <w:szCs w:val="20"/>
          <w:highlight w:val="none"/>
        </w:rPr>
        <w:t>（二）投标截止期</w:t>
      </w:r>
    </w:p>
    <w:p>
      <w:pPr>
        <w:spacing w:line="46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1、投标单位递交投标文件按前附表规定的日期、时间和地点。逾期送达的投标文件作无效标处理。</w:t>
      </w:r>
    </w:p>
    <w:p>
      <w:pPr>
        <w:spacing w:line="46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2、招标单位可以补遗书的方式酌情延长递交投标文件的截止日期。上述情况下，招标单位与投标单位以前在投标截止期方面的全部权力、责任和义务，将适用于延长后新的投标截止期。</w:t>
      </w:r>
    </w:p>
    <w:p>
      <w:pPr>
        <w:spacing w:line="460" w:lineRule="exact"/>
        <w:ind w:firstLine="482" w:firstLineChars="200"/>
        <w:outlineLvl w:val="0"/>
        <w:rPr>
          <w:b/>
          <w:color w:val="auto"/>
          <w:sz w:val="24"/>
          <w:szCs w:val="20"/>
          <w:highlight w:val="none"/>
        </w:rPr>
      </w:pPr>
      <w:r>
        <w:rPr>
          <w:rFonts w:hint="eastAsia"/>
          <w:b/>
          <w:color w:val="auto"/>
          <w:sz w:val="24"/>
          <w:szCs w:val="20"/>
          <w:highlight w:val="none"/>
        </w:rPr>
        <w:t>（三）投标文件的修改与撤回</w:t>
      </w:r>
    </w:p>
    <w:p>
      <w:pPr>
        <w:spacing w:line="46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1、投标单位递交投标文件以后，在规定的投标截止时间之前，可以书面形式补充修改其投标文件。在投标截止时间以后，不能更改投标文件。</w:t>
      </w:r>
    </w:p>
    <w:p>
      <w:pPr>
        <w:spacing w:line="460" w:lineRule="exact"/>
        <w:ind w:firstLine="420" w:firstLineChars="200"/>
        <w:outlineLvl w:val="0"/>
        <w:rPr>
          <w:rFonts w:ascii="宋体" w:hAnsi="宋体"/>
          <w:color w:val="auto"/>
          <w:szCs w:val="21"/>
          <w:highlight w:val="none"/>
        </w:rPr>
      </w:pPr>
      <w:r>
        <w:rPr>
          <w:rFonts w:hint="eastAsia"/>
          <w:color w:val="auto"/>
          <w:highlight w:val="none"/>
        </w:rPr>
        <w:t>2、投标单位的补充修改、应按规定编制、密封、标志和递交，并在包封上标明“修改”字样。</w:t>
      </w:r>
      <w:bookmarkStart w:id="11" w:name="_Toc287708708"/>
    </w:p>
    <w:p>
      <w:pPr>
        <w:pStyle w:val="3"/>
        <w:rPr>
          <w:color w:val="auto"/>
          <w:highlight w:val="none"/>
        </w:rPr>
      </w:pPr>
      <w:r>
        <w:rPr>
          <w:rFonts w:hint="eastAsia"/>
          <w:color w:val="auto"/>
          <w:highlight w:val="none"/>
        </w:rPr>
        <w:t>六、开标</w:t>
      </w:r>
      <w:bookmarkEnd w:id="11"/>
    </w:p>
    <w:p>
      <w:pPr>
        <w:spacing w:line="360" w:lineRule="auto"/>
        <w:ind w:firstLine="482" w:firstLineChars="200"/>
        <w:outlineLvl w:val="0"/>
        <w:rPr>
          <w:b/>
          <w:color w:val="auto"/>
          <w:sz w:val="24"/>
          <w:szCs w:val="20"/>
          <w:highlight w:val="none"/>
        </w:rPr>
      </w:pPr>
      <w:r>
        <w:rPr>
          <w:rFonts w:hint="eastAsia"/>
          <w:b/>
          <w:color w:val="auto"/>
          <w:sz w:val="24"/>
          <w:szCs w:val="20"/>
          <w:highlight w:val="none"/>
        </w:rPr>
        <w:t>（一）开标</w:t>
      </w:r>
    </w:p>
    <w:p>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1、招标单位将于前附表规定的时间和地点举行开标会议，</w:t>
      </w:r>
      <w:r>
        <w:rPr>
          <w:rFonts w:hint="eastAsia" w:ascii="宋体" w:hAnsi="宋体"/>
          <w:b/>
          <w:color w:val="auto"/>
          <w:szCs w:val="21"/>
          <w:highlight w:val="none"/>
          <w:u w:val="single"/>
        </w:rPr>
        <w:t>投标单位无需参加</w:t>
      </w:r>
      <w:r>
        <w:rPr>
          <w:rFonts w:hint="eastAsia" w:ascii="宋体" w:hAnsi="宋体"/>
          <w:b/>
          <w:color w:val="auto"/>
          <w:szCs w:val="21"/>
          <w:highlight w:val="none"/>
        </w:rPr>
        <w:t>。</w:t>
      </w:r>
    </w:p>
    <w:p>
      <w:pPr>
        <w:pStyle w:val="25"/>
        <w:spacing w:before="50" w:after="50" w:line="360" w:lineRule="auto"/>
        <w:ind w:firstLine="420" w:firstLineChars="200"/>
        <w:rPr>
          <w:color w:val="auto"/>
          <w:highlight w:val="none"/>
        </w:rPr>
      </w:pPr>
      <w:r>
        <w:rPr>
          <w:rFonts w:hint="eastAsia"/>
          <w:color w:val="auto"/>
          <w:highlight w:val="none"/>
        </w:rPr>
        <w:t>2、开标会议在相关监督部门的监督下，由招标代理单位组织并主持。</w:t>
      </w:r>
    </w:p>
    <w:p>
      <w:pPr>
        <w:pStyle w:val="25"/>
        <w:spacing w:before="50" w:after="50" w:line="360" w:lineRule="auto"/>
        <w:ind w:firstLine="420" w:firstLineChars="200"/>
        <w:rPr>
          <w:rFonts w:hAnsi="宋体"/>
          <w:color w:val="auto"/>
          <w:highlight w:val="none"/>
        </w:rPr>
      </w:pPr>
      <w:r>
        <w:rPr>
          <w:rFonts w:hint="eastAsia"/>
          <w:color w:val="auto"/>
          <w:highlight w:val="none"/>
        </w:rPr>
        <w:t>3、投标单位未准时将标书送达指定地点的视为自动弃权。</w:t>
      </w:r>
    </w:p>
    <w:p>
      <w:pPr>
        <w:spacing w:line="360" w:lineRule="auto"/>
        <w:ind w:left="480"/>
        <w:outlineLvl w:val="0"/>
        <w:rPr>
          <w:b/>
          <w:color w:val="auto"/>
          <w:sz w:val="24"/>
          <w:szCs w:val="20"/>
          <w:highlight w:val="none"/>
        </w:rPr>
      </w:pPr>
      <w:r>
        <w:rPr>
          <w:rFonts w:hint="eastAsia"/>
          <w:b/>
          <w:color w:val="auto"/>
          <w:sz w:val="24"/>
          <w:szCs w:val="20"/>
          <w:highlight w:val="none"/>
        </w:rPr>
        <w:t>（二）投标文件制作密封要求</w:t>
      </w:r>
    </w:p>
    <w:p>
      <w:pPr>
        <w:spacing w:line="360" w:lineRule="auto"/>
        <w:ind w:left="480"/>
        <w:outlineLvl w:val="0"/>
        <w:rPr>
          <w:color w:val="auto"/>
          <w:szCs w:val="21"/>
          <w:highlight w:val="none"/>
        </w:rPr>
      </w:pPr>
      <w:r>
        <w:rPr>
          <w:rFonts w:hint="eastAsia"/>
          <w:color w:val="auto"/>
          <w:szCs w:val="21"/>
          <w:highlight w:val="none"/>
        </w:rPr>
        <w:t>1、标书制作应规范：</w:t>
      </w:r>
    </w:p>
    <w:p>
      <w:pPr>
        <w:spacing w:line="360" w:lineRule="auto"/>
        <w:ind w:firstLine="420" w:firstLineChars="200"/>
        <w:outlineLvl w:val="0"/>
        <w:rPr>
          <w:bCs/>
          <w:color w:val="auto"/>
          <w:szCs w:val="21"/>
          <w:highlight w:val="none"/>
        </w:rPr>
      </w:pPr>
      <w:r>
        <w:rPr>
          <w:rFonts w:hint="eastAsia"/>
          <w:bCs/>
          <w:color w:val="auto"/>
          <w:szCs w:val="21"/>
          <w:highlight w:val="none"/>
        </w:rPr>
        <w:t>标书应分技术资信标、商务标与电子光盘三部分，其中技术资信标与商务标各一式四份，正本一份，副本三份，并标注正、副本，以正本为准，</w:t>
      </w:r>
      <w:r>
        <w:rPr>
          <w:rFonts w:hint="eastAsia"/>
          <w:b/>
          <w:color w:val="auto"/>
          <w:szCs w:val="21"/>
          <w:highlight w:val="none"/>
        </w:rPr>
        <w:t>商务标和技术资信标必须分别装订成册</w:t>
      </w:r>
      <w:r>
        <w:rPr>
          <w:rFonts w:hint="eastAsia"/>
          <w:bCs/>
          <w:color w:val="auto"/>
          <w:szCs w:val="21"/>
          <w:highlight w:val="none"/>
        </w:rPr>
        <w:t>；电子光盘一份。</w:t>
      </w:r>
    </w:p>
    <w:p>
      <w:pPr>
        <w:spacing w:line="360" w:lineRule="auto"/>
        <w:ind w:firstLine="420" w:firstLineChars="200"/>
        <w:outlineLvl w:val="0"/>
        <w:rPr>
          <w:color w:val="auto"/>
          <w:szCs w:val="21"/>
          <w:highlight w:val="none"/>
        </w:rPr>
      </w:pPr>
      <w:r>
        <w:rPr>
          <w:rFonts w:hint="eastAsia"/>
          <w:color w:val="auto"/>
          <w:szCs w:val="21"/>
          <w:highlight w:val="none"/>
        </w:rPr>
        <w:t>2、标书密封要求：凡密封袋上有接缝处均需贴封条，加盖单位公章和法定代表人印章（或代表人签字）。</w:t>
      </w:r>
    </w:p>
    <w:p>
      <w:pPr>
        <w:spacing w:line="360" w:lineRule="auto"/>
        <w:ind w:firstLine="422" w:firstLineChars="200"/>
        <w:outlineLvl w:val="0"/>
        <w:rPr>
          <w:color w:val="auto"/>
          <w:szCs w:val="21"/>
          <w:highlight w:val="none"/>
        </w:rPr>
      </w:pPr>
      <w:r>
        <w:rPr>
          <w:rFonts w:hint="eastAsia" w:ascii="宋体" w:hAnsi="宋体"/>
          <w:b/>
          <w:bCs/>
          <w:color w:val="auto"/>
          <w:szCs w:val="21"/>
          <w:highlight w:val="none"/>
        </w:rPr>
        <w:t>上述投标文件制作密封要求任何一项不满足，均为无效标。</w:t>
      </w:r>
    </w:p>
    <w:p>
      <w:pPr>
        <w:spacing w:line="360" w:lineRule="auto"/>
        <w:ind w:left="480"/>
        <w:outlineLvl w:val="0"/>
        <w:rPr>
          <w:b/>
          <w:color w:val="auto"/>
          <w:sz w:val="24"/>
          <w:szCs w:val="20"/>
          <w:highlight w:val="none"/>
          <w:u w:val="wave"/>
        </w:rPr>
      </w:pPr>
      <w:r>
        <w:rPr>
          <w:rFonts w:hint="eastAsia"/>
          <w:b/>
          <w:color w:val="auto"/>
          <w:sz w:val="24"/>
          <w:szCs w:val="20"/>
          <w:highlight w:val="none"/>
        </w:rPr>
        <w:t>（三）</w:t>
      </w:r>
      <w:r>
        <w:rPr>
          <w:rFonts w:hint="eastAsia"/>
          <w:b/>
          <w:color w:val="auto"/>
          <w:sz w:val="24"/>
          <w:szCs w:val="20"/>
          <w:highlight w:val="none"/>
          <w:u w:val="wave"/>
        </w:rPr>
        <w:t>投标文件有下列情况之一的视为无效</w:t>
      </w:r>
    </w:p>
    <w:p>
      <w:pPr>
        <w:spacing w:line="360" w:lineRule="auto"/>
        <w:ind w:firstLine="420" w:firstLineChars="200"/>
        <w:outlineLvl w:val="0"/>
        <w:rPr>
          <w:rFonts w:ascii="宋体" w:hAnsi="Courier New"/>
          <w:color w:val="auto"/>
          <w:szCs w:val="20"/>
          <w:highlight w:val="none"/>
        </w:rPr>
      </w:pPr>
      <w:r>
        <w:rPr>
          <w:rFonts w:hint="eastAsia" w:ascii="宋体" w:hAnsi="Courier New"/>
          <w:color w:val="auto"/>
          <w:szCs w:val="20"/>
          <w:highlight w:val="none"/>
        </w:rPr>
        <w:t>1、上述投标文件制作、密封、装订要求任何一项不满足，均为无效标；</w:t>
      </w:r>
    </w:p>
    <w:p>
      <w:pPr>
        <w:spacing w:line="360" w:lineRule="auto"/>
        <w:ind w:firstLine="420" w:firstLineChars="200"/>
        <w:outlineLvl w:val="0"/>
        <w:rPr>
          <w:rFonts w:ascii="宋体" w:hAnsi="Courier New"/>
          <w:color w:val="auto"/>
          <w:szCs w:val="20"/>
          <w:highlight w:val="none"/>
        </w:rPr>
      </w:pPr>
      <w:r>
        <w:rPr>
          <w:rFonts w:hint="eastAsia" w:ascii="宋体" w:hAnsi="Courier New"/>
          <w:color w:val="auto"/>
          <w:szCs w:val="20"/>
          <w:highlight w:val="none"/>
        </w:rPr>
        <w:t>2、逾期送达的或未送达指定地点的；</w:t>
      </w:r>
    </w:p>
    <w:p>
      <w:pPr>
        <w:pStyle w:val="25"/>
        <w:spacing w:before="50" w:after="50" w:line="360" w:lineRule="auto"/>
        <w:ind w:firstLine="420" w:firstLineChars="200"/>
        <w:rPr>
          <w:rFonts w:ascii="黑体" w:eastAsia="黑体"/>
          <w:b/>
          <w:color w:val="auto"/>
          <w:sz w:val="24"/>
          <w:szCs w:val="24"/>
          <w:highlight w:val="none"/>
        </w:rPr>
      </w:pPr>
      <w:r>
        <w:rPr>
          <w:rFonts w:hint="eastAsia"/>
          <w:color w:val="auto"/>
          <w:highlight w:val="none"/>
        </w:rPr>
        <w:t>3、</w:t>
      </w:r>
      <w:r>
        <w:rPr>
          <w:rFonts w:hint="eastAsia" w:hAnsi="宋体"/>
          <w:color w:val="auto"/>
          <w:szCs w:val="21"/>
          <w:highlight w:val="none"/>
        </w:rPr>
        <w:t>未按招标文件的规定提供投标保证金的。</w:t>
      </w:r>
    </w:p>
    <w:p>
      <w:pPr>
        <w:spacing w:line="360" w:lineRule="auto"/>
        <w:ind w:firstLine="482" w:firstLineChars="200"/>
        <w:outlineLvl w:val="0"/>
        <w:rPr>
          <w:b/>
          <w:color w:val="auto"/>
          <w:sz w:val="24"/>
          <w:szCs w:val="20"/>
          <w:highlight w:val="none"/>
        </w:rPr>
      </w:pPr>
      <w:r>
        <w:rPr>
          <w:rFonts w:hint="eastAsia"/>
          <w:b/>
          <w:color w:val="auto"/>
          <w:sz w:val="24"/>
          <w:szCs w:val="20"/>
          <w:highlight w:val="none"/>
        </w:rPr>
        <w:t>（四）投标文件鉴证和公布</w:t>
      </w:r>
    </w:p>
    <w:p>
      <w:pPr>
        <w:spacing w:line="360" w:lineRule="auto"/>
        <w:ind w:firstLine="420" w:firstLineChars="200"/>
        <w:outlineLvl w:val="0"/>
        <w:rPr>
          <w:color w:val="auto"/>
          <w:szCs w:val="21"/>
          <w:highlight w:val="none"/>
        </w:rPr>
      </w:pPr>
      <w:r>
        <w:rPr>
          <w:rFonts w:hint="eastAsia"/>
          <w:color w:val="auto"/>
          <w:szCs w:val="21"/>
          <w:highlight w:val="none"/>
        </w:rPr>
        <w:t>当众宣布核查结果，并宣读有效投标的投标单位名称、投标报价、修改内容、工期、质量目标等招标单位认为适当的其他内容。</w:t>
      </w:r>
    </w:p>
    <w:p>
      <w:pPr>
        <w:spacing w:line="360" w:lineRule="auto"/>
        <w:ind w:firstLine="482" w:firstLineChars="200"/>
        <w:outlineLvl w:val="0"/>
        <w:rPr>
          <w:b/>
          <w:color w:val="auto"/>
          <w:sz w:val="24"/>
          <w:szCs w:val="20"/>
          <w:highlight w:val="none"/>
        </w:rPr>
      </w:pPr>
      <w:r>
        <w:rPr>
          <w:rFonts w:hint="eastAsia"/>
          <w:b/>
          <w:color w:val="auto"/>
          <w:sz w:val="24"/>
          <w:szCs w:val="20"/>
          <w:highlight w:val="none"/>
        </w:rPr>
        <w:t>（五）唱标和记录</w:t>
      </w:r>
    </w:p>
    <w:p>
      <w:pPr>
        <w:spacing w:line="360" w:lineRule="auto"/>
        <w:ind w:firstLine="420" w:firstLineChars="200"/>
        <w:outlineLvl w:val="0"/>
        <w:rPr>
          <w:color w:val="auto"/>
          <w:szCs w:val="21"/>
          <w:highlight w:val="none"/>
        </w:rPr>
      </w:pPr>
      <w:r>
        <w:rPr>
          <w:rFonts w:hint="eastAsia"/>
          <w:color w:val="auto"/>
          <w:szCs w:val="21"/>
          <w:highlight w:val="none"/>
        </w:rPr>
        <w:t>唱标内容将做好记录，并存档。</w:t>
      </w:r>
    </w:p>
    <w:p>
      <w:pPr>
        <w:pStyle w:val="3"/>
        <w:rPr>
          <w:color w:val="auto"/>
          <w:highlight w:val="none"/>
        </w:rPr>
      </w:pPr>
      <w:bookmarkStart w:id="12" w:name="_Toc287708709"/>
      <w:bookmarkStart w:id="13" w:name="_Toc287708710"/>
      <w:r>
        <w:rPr>
          <w:rFonts w:hint="eastAsia"/>
          <w:color w:val="auto"/>
          <w:highlight w:val="none"/>
        </w:rPr>
        <w:t>七、评标</w:t>
      </w:r>
      <w:bookmarkEnd w:id="12"/>
    </w:p>
    <w:p>
      <w:pPr>
        <w:spacing w:line="460" w:lineRule="exact"/>
        <w:ind w:firstLine="482" w:firstLineChars="200"/>
        <w:outlineLvl w:val="0"/>
        <w:rPr>
          <w:b/>
          <w:color w:val="auto"/>
          <w:sz w:val="24"/>
          <w:szCs w:val="20"/>
          <w:highlight w:val="none"/>
        </w:rPr>
      </w:pPr>
      <w:r>
        <w:rPr>
          <w:rFonts w:hint="eastAsia"/>
          <w:b/>
          <w:color w:val="auto"/>
          <w:sz w:val="24"/>
          <w:szCs w:val="20"/>
          <w:highlight w:val="none"/>
        </w:rPr>
        <w:t>（一）评标小组</w:t>
      </w:r>
    </w:p>
    <w:p>
      <w:pPr>
        <w:spacing w:line="460" w:lineRule="exact"/>
        <w:ind w:firstLine="420" w:firstLineChars="200"/>
        <w:outlineLvl w:val="0"/>
        <w:rPr>
          <w:color w:val="auto"/>
          <w:szCs w:val="21"/>
          <w:highlight w:val="none"/>
        </w:rPr>
      </w:pPr>
      <w:r>
        <w:rPr>
          <w:rFonts w:hint="eastAsia"/>
          <w:color w:val="auto"/>
          <w:szCs w:val="21"/>
          <w:highlight w:val="none"/>
        </w:rPr>
        <w:t>本次招标评标工作由招标备案单位依法组建的评标委员会负责，评标委员会由五人组成。评标全过程由中国石化销售股份有限公司浙江丽水石油分公司派员全程监督。</w:t>
      </w:r>
    </w:p>
    <w:p>
      <w:pPr>
        <w:spacing w:line="460" w:lineRule="exact"/>
        <w:ind w:firstLine="482" w:firstLineChars="200"/>
        <w:outlineLvl w:val="0"/>
        <w:rPr>
          <w:b/>
          <w:color w:val="auto"/>
          <w:sz w:val="24"/>
          <w:szCs w:val="20"/>
          <w:highlight w:val="none"/>
        </w:rPr>
      </w:pPr>
      <w:r>
        <w:rPr>
          <w:rFonts w:hint="eastAsia"/>
          <w:b/>
          <w:color w:val="auto"/>
          <w:sz w:val="24"/>
          <w:szCs w:val="20"/>
          <w:highlight w:val="none"/>
        </w:rPr>
        <w:t>（二）评标原则</w:t>
      </w:r>
    </w:p>
    <w:p>
      <w:pPr>
        <w:spacing w:line="460" w:lineRule="exact"/>
        <w:ind w:firstLine="420" w:firstLineChars="200"/>
        <w:outlineLvl w:val="0"/>
        <w:rPr>
          <w:color w:val="auto"/>
          <w:szCs w:val="21"/>
          <w:highlight w:val="none"/>
        </w:rPr>
      </w:pPr>
      <w:r>
        <w:rPr>
          <w:rFonts w:hint="eastAsia"/>
          <w:color w:val="auto"/>
          <w:szCs w:val="21"/>
          <w:highlight w:val="none"/>
        </w:rPr>
        <w:t>应遵循公正、合理、科学的原则。</w:t>
      </w:r>
    </w:p>
    <w:p>
      <w:pPr>
        <w:spacing w:line="460" w:lineRule="exact"/>
        <w:ind w:firstLine="482" w:firstLineChars="200"/>
        <w:outlineLvl w:val="0"/>
        <w:rPr>
          <w:b/>
          <w:color w:val="auto"/>
          <w:sz w:val="24"/>
          <w:szCs w:val="20"/>
          <w:highlight w:val="none"/>
        </w:rPr>
      </w:pPr>
      <w:r>
        <w:rPr>
          <w:rFonts w:hint="eastAsia"/>
          <w:b/>
          <w:color w:val="auto"/>
          <w:sz w:val="24"/>
          <w:szCs w:val="20"/>
          <w:highlight w:val="none"/>
        </w:rPr>
        <w:t>（三）评标办法</w:t>
      </w:r>
    </w:p>
    <w:p>
      <w:pPr>
        <w:pStyle w:val="25"/>
        <w:adjustRightInd w:val="0"/>
        <w:spacing w:line="44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本项目评标办法详见第五章。</w:t>
      </w:r>
    </w:p>
    <w:p>
      <w:pPr>
        <w:spacing w:line="460" w:lineRule="exact"/>
        <w:ind w:firstLine="482" w:firstLineChars="200"/>
        <w:outlineLvl w:val="0"/>
        <w:rPr>
          <w:b/>
          <w:color w:val="auto"/>
          <w:sz w:val="24"/>
          <w:szCs w:val="20"/>
          <w:highlight w:val="none"/>
        </w:rPr>
      </w:pPr>
      <w:r>
        <w:rPr>
          <w:rFonts w:hint="eastAsia"/>
          <w:b/>
          <w:color w:val="auto"/>
          <w:sz w:val="24"/>
          <w:szCs w:val="20"/>
          <w:highlight w:val="none"/>
        </w:rPr>
        <w:t>（四）投标文件的澄清</w:t>
      </w:r>
    </w:p>
    <w:p>
      <w:pPr>
        <w:spacing w:line="460" w:lineRule="exact"/>
        <w:ind w:firstLine="420" w:firstLineChars="200"/>
        <w:outlineLvl w:val="0"/>
        <w:rPr>
          <w:color w:val="auto"/>
          <w:szCs w:val="21"/>
          <w:highlight w:val="none"/>
        </w:rPr>
      </w:pPr>
      <w:r>
        <w:rPr>
          <w:rFonts w:hint="eastAsia"/>
          <w:color w:val="auto"/>
          <w:szCs w:val="21"/>
          <w:highlight w:val="none"/>
        </w:rPr>
        <w:t>为了有助于投标文件的审查、评价和比较，评标委员会可以个别地要求投标单位澄清其投标文件。有关澄清的要求和答复，应以书面形式进行，但不允许更改投标报价或投标的实质性内容。</w:t>
      </w:r>
    </w:p>
    <w:p>
      <w:pPr>
        <w:spacing w:line="460" w:lineRule="exact"/>
        <w:ind w:firstLine="482" w:firstLineChars="200"/>
        <w:outlineLvl w:val="0"/>
        <w:rPr>
          <w:b/>
          <w:color w:val="auto"/>
          <w:sz w:val="24"/>
          <w:szCs w:val="20"/>
          <w:highlight w:val="none"/>
        </w:rPr>
      </w:pPr>
      <w:r>
        <w:rPr>
          <w:rFonts w:hint="eastAsia"/>
          <w:b/>
          <w:color w:val="auto"/>
          <w:sz w:val="24"/>
          <w:szCs w:val="20"/>
          <w:highlight w:val="none"/>
        </w:rPr>
        <w:t>（五）投标文件的评审、比较和否决</w:t>
      </w:r>
    </w:p>
    <w:p>
      <w:pPr>
        <w:spacing w:line="46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1、评标委员会仅对实质上响应招标文件要求的投标文件进行评估和比较。</w:t>
      </w:r>
    </w:p>
    <w:p>
      <w:pPr>
        <w:spacing w:line="46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2、在评审过程中，评标委员会可以以书面形式要求投标人就投标文件中含义不明确的内容进行书面说明并提供相关材料。</w:t>
      </w:r>
    </w:p>
    <w:p>
      <w:pPr>
        <w:spacing w:line="460" w:lineRule="exact"/>
        <w:ind w:firstLine="420" w:firstLineChars="200"/>
        <w:outlineLvl w:val="0"/>
        <w:rPr>
          <w:color w:val="auto"/>
          <w:sz w:val="24"/>
          <w:szCs w:val="20"/>
          <w:highlight w:val="none"/>
        </w:rPr>
      </w:pPr>
      <w:r>
        <w:rPr>
          <w:rFonts w:hint="eastAsia" w:ascii="宋体" w:hAnsi="宋体"/>
          <w:color w:val="auto"/>
          <w:szCs w:val="21"/>
          <w:highlight w:val="none"/>
        </w:rPr>
        <w:t>3、评标委员会依据本招标文件规定的评标方法，就投标文件进行评审和比较，向招标人提出书面评标报告，并推荐合格的中标候选人。招标人授权评标委员会直接确定中标人。</w:t>
      </w:r>
    </w:p>
    <w:p>
      <w:pPr>
        <w:spacing w:line="46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4、评标委员会经评审，认为所有投标都不符合招标文件要求的，可以否决所有投标。所有投标被否决后，招标人应当依法重新招标。</w:t>
      </w:r>
    </w:p>
    <w:p>
      <w:pPr>
        <w:spacing w:line="460" w:lineRule="exact"/>
        <w:ind w:firstLine="482" w:firstLineChars="200"/>
        <w:outlineLvl w:val="0"/>
        <w:rPr>
          <w:b/>
          <w:color w:val="auto"/>
          <w:sz w:val="24"/>
          <w:szCs w:val="20"/>
          <w:highlight w:val="none"/>
        </w:rPr>
      </w:pPr>
      <w:r>
        <w:rPr>
          <w:rFonts w:hint="eastAsia"/>
          <w:b/>
          <w:color w:val="auto"/>
          <w:sz w:val="24"/>
          <w:szCs w:val="20"/>
          <w:highlight w:val="none"/>
        </w:rPr>
        <w:t>（六）评标过程的保密</w:t>
      </w:r>
    </w:p>
    <w:p>
      <w:pPr>
        <w:spacing w:line="46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1、公开开标后，直到授予中标人合同为止，凡属于对投标文件的审查、澄清、评价和比较的有关资料以及中标候选人的推荐情况、与评标有关的其他任何情况均应严格保密。</w:t>
      </w:r>
    </w:p>
    <w:p>
      <w:pPr>
        <w:spacing w:line="46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2、在投标文件的评审和比较、中标候选人推荐以及授予合同的过程中，投标人向招标人的评标委员会施加影响的任何行为，都将会导致其投标被拒绝。</w:t>
      </w:r>
    </w:p>
    <w:p>
      <w:pPr>
        <w:spacing w:line="46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3、中标人确定后，招标人不对未中标人就评标过程以及未能中标原因作出任何解释。</w:t>
      </w:r>
    </w:p>
    <w:p>
      <w:pPr>
        <w:spacing w:line="460" w:lineRule="exact"/>
        <w:ind w:firstLine="420" w:firstLineChars="200"/>
        <w:outlineLvl w:val="0"/>
        <w:rPr>
          <w:rFonts w:ascii="宋体" w:hAnsi="宋体"/>
          <w:color w:val="auto"/>
          <w:szCs w:val="21"/>
          <w:highlight w:val="none"/>
        </w:rPr>
      </w:pPr>
    </w:p>
    <w:bookmarkEnd w:id="13"/>
    <w:p>
      <w:pPr>
        <w:spacing w:line="440" w:lineRule="exact"/>
        <w:ind w:firstLine="480"/>
        <w:jc w:val="center"/>
        <w:outlineLvl w:val="0"/>
        <w:rPr>
          <w:rFonts w:ascii="宋体" w:hAnsi="宋体"/>
          <w:b/>
          <w:color w:val="auto"/>
          <w:sz w:val="28"/>
          <w:szCs w:val="28"/>
          <w:highlight w:val="none"/>
        </w:rPr>
      </w:pPr>
      <w:bookmarkStart w:id="14" w:name="_Toc287708711"/>
      <w:r>
        <w:rPr>
          <w:rFonts w:hint="eastAsia" w:ascii="宋体" w:hAnsi="宋体"/>
          <w:b/>
          <w:color w:val="auto"/>
          <w:sz w:val="28"/>
          <w:highlight w:val="none"/>
        </w:rPr>
        <w:t>八、中标通知书和签订合同</w:t>
      </w:r>
    </w:p>
    <w:p>
      <w:pPr>
        <w:spacing w:line="44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（一）中标公示</w:t>
      </w:r>
    </w:p>
    <w:p>
      <w:pPr>
        <w:adjustRightInd w:val="0"/>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中国石化销售股份有限公司浙江丽水石油分公司根据评标委员会的推荐名单初步确定中标人后，在浙江建航工程咨询有限公司网站进行中标公示，公示期为三天。</w:t>
      </w:r>
    </w:p>
    <w:p>
      <w:pPr>
        <w:spacing w:line="44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（二）中标通知书</w:t>
      </w:r>
    </w:p>
    <w:p>
      <w:pPr>
        <w:adjustRightInd w:val="0"/>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中标公示结束后，根据公示结果确定中标人后，招标人以中标通知书的方式通知中标单位，中标通知书将成为合同的组成部分。招标人对未中标单位无义务做未中标原因解释。</w:t>
      </w:r>
    </w:p>
    <w:p>
      <w:pPr>
        <w:spacing w:line="44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（三）合同签订</w:t>
      </w:r>
    </w:p>
    <w:p>
      <w:pPr>
        <w:adjustRightInd w:val="0"/>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1、中标人在收到中标通知书后，应在签订合同前向招标人交纳中标价</w:t>
      </w:r>
      <w:r>
        <w:rPr>
          <w:rFonts w:ascii="宋体" w:hAnsi="宋体"/>
          <w:color w:val="auto"/>
          <w:szCs w:val="21"/>
          <w:highlight w:val="none"/>
        </w:rPr>
        <w:t>2</w:t>
      </w:r>
      <w:r>
        <w:rPr>
          <w:rFonts w:hint="eastAsia" w:ascii="宋体" w:hAnsi="宋体"/>
          <w:color w:val="auto"/>
          <w:szCs w:val="21"/>
          <w:highlight w:val="none"/>
        </w:rPr>
        <w:t>%的履约保证金（其中履约保证金的10%作为廉政保证金）。中标人在接到中标通知书起10天内未交履约保证金或拒签合同者，招标人即可直接扣罚投标保证金，同时取消该单位的中标权，另选其他投标人中标。履约保证金在全部设备按合同要求安装完成并验收合格后15天内视履约情况无息返还。</w:t>
      </w:r>
    </w:p>
    <w:p>
      <w:pPr>
        <w:adjustRightInd w:val="0"/>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2、招标文件、中标人的投标文件及投标修改文件、评标过程中有关澄清文件及经双方签字的询标纪要和中标通知书均作为合同附件。</w:t>
      </w:r>
    </w:p>
    <w:p>
      <w:pPr>
        <w:adjustRightInd w:val="0"/>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3、拒签合同的责任</w:t>
      </w:r>
    </w:p>
    <w:p>
      <w:pPr>
        <w:adjustRightInd w:val="0"/>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中标人接到中标通知书后，在规定时间内借故否认已经承诺的条件而拒签合同或拒交履约保证金者，以投标违约处理，其投标保证金不予退回，赔偿招标人由此造成的直接经济损失，并在2年内禁止参加本公司的所有招投标项目。</w:t>
      </w:r>
    </w:p>
    <w:p>
      <w:pPr>
        <w:pStyle w:val="2"/>
        <w:rPr>
          <w:color w:val="auto"/>
          <w:highlight w:val="none"/>
        </w:rPr>
      </w:pPr>
      <w:r>
        <w:rPr>
          <w:color w:val="auto"/>
          <w:highlight w:val="none"/>
        </w:rPr>
        <w:br w:type="page"/>
      </w:r>
      <w:r>
        <w:rPr>
          <w:rFonts w:hint="eastAsia"/>
          <w:color w:val="auto"/>
          <w:highlight w:val="none"/>
        </w:rPr>
        <w:t>第二章  合同主要协议条款</w:t>
      </w:r>
      <w:bookmarkEnd w:id="14"/>
    </w:p>
    <w:p>
      <w:pPr>
        <w:pStyle w:val="157"/>
        <w:spacing w:line="360" w:lineRule="auto"/>
        <w:rPr>
          <w:rFonts w:ascii="宋体" w:hAnsi="宋体" w:cs="宋体"/>
          <w:color w:val="auto"/>
          <w:highlight w:val="none"/>
        </w:rPr>
      </w:pPr>
      <w:bookmarkStart w:id="15" w:name="_Toc98319598"/>
      <w:bookmarkStart w:id="16" w:name="_Toc287708712"/>
      <w:r>
        <w:rPr>
          <w:rFonts w:hint="eastAsia" w:ascii="宋体" w:hAnsi="宋体" w:cs="宋体"/>
          <w:color w:val="auto"/>
          <w:highlight w:val="none"/>
        </w:rPr>
        <w:t>合同条件采用</w:t>
      </w:r>
      <w:r>
        <w:rPr>
          <w:rFonts w:hint="eastAsia" w:cs="宋体"/>
          <w:color w:val="auto"/>
          <w:szCs w:val="21"/>
          <w:highlight w:val="none"/>
        </w:rPr>
        <w:t>中华人民共和国</w:t>
      </w:r>
      <w:r>
        <w:rPr>
          <w:rFonts w:cs="宋体"/>
          <w:color w:val="auto"/>
          <w:szCs w:val="21"/>
          <w:highlight w:val="none"/>
        </w:rPr>
        <w:t>住房</w:t>
      </w:r>
      <w:r>
        <w:rPr>
          <w:rFonts w:hint="eastAsia" w:cs="宋体"/>
          <w:color w:val="auto"/>
          <w:szCs w:val="21"/>
          <w:highlight w:val="none"/>
        </w:rPr>
        <w:t>和</w:t>
      </w:r>
      <w:r>
        <w:rPr>
          <w:rFonts w:cs="宋体"/>
          <w:color w:val="auto"/>
          <w:szCs w:val="21"/>
          <w:highlight w:val="none"/>
        </w:rPr>
        <w:t>城乡建设部</w:t>
      </w:r>
      <w:r>
        <w:rPr>
          <w:rFonts w:hint="eastAsia" w:cs="宋体"/>
          <w:color w:val="auto"/>
          <w:szCs w:val="21"/>
          <w:highlight w:val="none"/>
        </w:rPr>
        <w:t>、国家市场监督管理</w:t>
      </w:r>
      <w:r>
        <w:rPr>
          <w:rFonts w:cs="宋体"/>
          <w:color w:val="auto"/>
          <w:szCs w:val="21"/>
          <w:highlight w:val="none"/>
        </w:rPr>
        <w:t>总局</w:t>
      </w:r>
      <w:r>
        <w:rPr>
          <w:rFonts w:hint="eastAsia" w:cs="宋体"/>
          <w:color w:val="auto"/>
          <w:szCs w:val="21"/>
          <w:highlight w:val="none"/>
        </w:rPr>
        <w:t>联合制定的《建设项目工程总承包合同（示范文本）》（GF-2020-0217）</w:t>
      </w:r>
      <w:r>
        <w:rPr>
          <w:rFonts w:hint="eastAsia" w:ascii="宋体" w:hAnsi="宋体" w:cs="宋体"/>
          <w:color w:val="auto"/>
          <w:highlight w:val="none"/>
        </w:rPr>
        <w:t>的《合同条件》。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合同协议条款将由招标人（甲方）与中标单位（乙方）根据招标文件和投标文件以及中标通知书的内容签订。</w:t>
      </w:r>
    </w:p>
    <w:p>
      <w:pPr>
        <w:pStyle w:val="3"/>
        <w:spacing w:before="0" w:after="0" w:line="360" w:lineRule="auto"/>
        <w:rPr>
          <w:rFonts w:ascii="华文中宋" w:hAnsi="华文中宋" w:eastAsia="华文中宋"/>
          <w:color w:val="auto"/>
          <w:sz w:val="30"/>
          <w:szCs w:val="30"/>
          <w:highlight w:val="none"/>
        </w:rPr>
      </w:pPr>
      <w:bookmarkStart w:id="17" w:name="_Toc61771196"/>
      <w:bookmarkStart w:id="18" w:name="_Toc54862164"/>
      <w:r>
        <w:rPr>
          <w:rFonts w:hint="eastAsia" w:ascii="华文中宋" w:hAnsi="华文中宋" w:eastAsia="华文中宋"/>
          <w:color w:val="auto"/>
          <w:sz w:val="30"/>
          <w:szCs w:val="30"/>
          <w:highlight w:val="none"/>
        </w:rPr>
        <w:t>第一部分</w:t>
      </w:r>
      <w:r>
        <w:rPr>
          <w:rFonts w:ascii="华文中宋" w:hAnsi="华文中宋" w:eastAsia="华文中宋"/>
          <w:color w:val="auto"/>
          <w:sz w:val="30"/>
          <w:szCs w:val="30"/>
          <w:highlight w:val="none"/>
        </w:rPr>
        <w:t xml:space="preserve"> </w:t>
      </w:r>
      <w:r>
        <w:rPr>
          <w:rFonts w:hint="eastAsia" w:ascii="华文中宋" w:hAnsi="华文中宋" w:eastAsia="华文中宋"/>
          <w:color w:val="auto"/>
          <w:sz w:val="30"/>
          <w:szCs w:val="30"/>
          <w:highlight w:val="none"/>
        </w:rPr>
        <w:t>合同协议书</w:t>
      </w:r>
      <w:bookmarkEnd w:id="17"/>
      <w:bookmarkEnd w:id="18"/>
    </w:p>
    <w:p>
      <w:pPr>
        <w:spacing w:line="360" w:lineRule="auto"/>
        <w:ind w:firstLine="420"/>
        <w:rPr>
          <w:rFonts w:ascii="宋体" w:hAnsi="宋体"/>
          <w:color w:val="auto"/>
          <w:szCs w:val="21"/>
          <w:highlight w:val="none"/>
          <w:u w:val="single"/>
        </w:rPr>
      </w:pPr>
      <w:r>
        <w:rPr>
          <w:rFonts w:hint="eastAsia" w:ascii="宋体" w:hAnsi="宋体"/>
          <w:color w:val="auto"/>
          <w:szCs w:val="21"/>
          <w:highlight w:val="none"/>
        </w:rPr>
        <w:t>发包人（全称）：</w:t>
      </w:r>
      <w:r>
        <w:rPr>
          <w:rFonts w:hint="eastAsia" w:ascii="宋体" w:hAnsi="宋体"/>
          <w:color w:val="auto"/>
          <w:szCs w:val="21"/>
          <w:highlight w:val="none"/>
          <w:u w:val="single"/>
        </w:rPr>
        <w:t>中国石化销售股份有限公司浙江丽水石油分公司</w:t>
      </w:r>
    </w:p>
    <w:p>
      <w:pPr>
        <w:spacing w:line="360" w:lineRule="auto"/>
        <w:ind w:firstLine="420"/>
        <w:rPr>
          <w:rFonts w:ascii="宋体" w:hAnsi="宋体"/>
          <w:color w:val="auto"/>
          <w:szCs w:val="21"/>
          <w:highlight w:val="none"/>
        </w:rPr>
      </w:pPr>
      <w:r>
        <w:rPr>
          <w:rFonts w:hint="eastAsia" w:ascii="宋体" w:hAnsi="宋体"/>
          <w:color w:val="auto"/>
          <w:szCs w:val="21"/>
          <w:highlight w:val="none"/>
        </w:rPr>
        <w:t>承包人（全称）：</w:t>
      </w:r>
      <w:r>
        <w:rPr>
          <w:rFonts w:ascii="宋体" w:hAnsi="宋体"/>
          <w:color w:val="auto"/>
          <w:szCs w:val="21"/>
          <w:highlight w:val="none"/>
          <w:u w:val="single"/>
        </w:rPr>
        <w:t xml:space="preserve">                                </w:t>
      </w:r>
    </w:p>
    <w:p>
      <w:pPr>
        <w:spacing w:line="360" w:lineRule="auto"/>
        <w:ind w:firstLine="420"/>
        <w:rPr>
          <w:rFonts w:ascii="宋体" w:hAnsi="宋体"/>
          <w:color w:val="auto"/>
          <w:szCs w:val="21"/>
          <w:highlight w:val="none"/>
        </w:rPr>
      </w:pPr>
      <w:r>
        <w:rPr>
          <w:rFonts w:hint="eastAsia" w:ascii="宋体" w:hAnsi="宋体"/>
          <w:color w:val="auto"/>
          <w:szCs w:val="21"/>
          <w:highlight w:val="none"/>
        </w:rPr>
        <w:t>根据《中华人民共和国民法典》、《中华人民共和国建筑法》及有关法律规定，遵循平等、自愿、公平和诚实信用的原则，双方就</w:t>
      </w:r>
      <w:r>
        <w:rPr>
          <w:rFonts w:ascii="宋体" w:hAnsi="宋体"/>
          <w:color w:val="auto"/>
          <w:szCs w:val="21"/>
          <w:highlight w:val="none"/>
          <w:u w:val="single"/>
        </w:rPr>
        <w:t xml:space="preserve"> </w:t>
      </w:r>
      <w:r>
        <w:rPr>
          <w:rFonts w:hint="eastAsia" w:ascii="宋体" w:hAnsi="宋体"/>
          <w:color w:val="auto"/>
          <w:szCs w:val="21"/>
          <w:highlight w:val="none"/>
          <w:u w:val="single"/>
        </w:rPr>
        <w:t>中石化丽水7座分布式光伏发电站项目</w:t>
      </w:r>
      <w:r>
        <w:rPr>
          <w:rFonts w:hint="eastAsia" w:ascii="宋体" w:hAnsi="宋体"/>
          <w:color w:val="auto"/>
          <w:szCs w:val="21"/>
          <w:highlight w:val="none"/>
        </w:rPr>
        <w:t>的工程总承包及有关事项协商一致，共同达成如下协议：</w:t>
      </w:r>
    </w:p>
    <w:p>
      <w:pPr>
        <w:pStyle w:val="240"/>
        <w:numPr>
          <w:ilvl w:val="0"/>
          <w:numId w:val="0"/>
        </w:numPr>
        <w:wordWrap/>
        <w:topLinePunct w:val="0"/>
        <w:spacing w:afterLines="0"/>
        <w:outlineLvl w:val="9"/>
        <w:rPr>
          <w:b w:val="0"/>
          <w:bCs/>
          <w:color w:val="auto"/>
          <w:sz w:val="21"/>
          <w:szCs w:val="21"/>
          <w:highlight w:val="none"/>
        </w:rPr>
      </w:pPr>
      <w:bookmarkStart w:id="19" w:name="_Toc54862165"/>
      <w:r>
        <w:rPr>
          <w:rFonts w:hint="eastAsia"/>
          <w:b w:val="0"/>
          <w:bCs/>
          <w:color w:val="auto"/>
          <w:sz w:val="21"/>
          <w:szCs w:val="21"/>
          <w:highlight w:val="none"/>
        </w:rPr>
        <w:t>一、工程概况</w:t>
      </w:r>
      <w:bookmarkEnd w:id="19"/>
    </w:p>
    <w:p>
      <w:pPr>
        <w:spacing w:line="360" w:lineRule="auto"/>
        <w:ind w:firstLine="420"/>
        <w:rPr>
          <w:rFonts w:ascii="宋体" w:hAnsi="宋体"/>
          <w:color w:val="auto"/>
          <w:szCs w:val="21"/>
          <w:highlight w:val="none"/>
        </w:rPr>
      </w:pPr>
      <w:r>
        <w:rPr>
          <w:rFonts w:hint="eastAsia" w:ascii="宋体" w:hAnsi="宋体"/>
          <w:color w:val="auto"/>
          <w:szCs w:val="21"/>
          <w:highlight w:val="none"/>
        </w:rPr>
        <w:t>1. 工程名称：</w:t>
      </w:r>
      <w:r>
        <w:rPr>
          <w:rFonts w:hint="eastAsia" w:ascii="宋体" w:hAnsi="宋体"/>
          <w:color w:val="auto"/>
          <w:szCs w:val="21"/>
          <w:highlight w:val="none"/>
          <w:u w:val="single"/>
        </w:rPr>
        <w:t>中石化丽水7座分布式光伏发电站项目</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2. 工程地点：</w:t>
      </w:r>
      <w:r>
        <w:rPr>
          <w:rFonts w:hint="eastAsia" w:ascii="宋体" w:hAnsi="宋体"/>
          <w:color w:val="auto"/>
          <w:szCs w:val="21"/>
          <w:highlight w:val="none"/>
          <w:u w:val="single"/>
        </w:rPr>
        <w:t>丽水市莲都区</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 资金来源：</w:t>
      </w:r>
      <w:r>
        <w:rPr>
          <w:rFonts w:hint="eastAsia" w:ascii="宋体" w:hAnsi="宋体"/>
          <w:color w:val="auto"/>
          <w:szCs w:val="21"/>
          <w:highlight w:val="none"/>
          <w:u w:val="single"/>
        </w:rPr>
        <w:t>自筹</w:t>
      </w:r>
      <w:r>
        <w:rPr>
          <w:rFonts w:hint="eastAsia" w:ascii="宋体" w:hAnsi="宋体"/>
          <w:color w:val="auto"/>
          <w:szCs w:val="21"/>
          <w:highlight w:val="none"/>
        </w:rPr>
        <w:t>。</w:t>
      </w:r>
    </w:p>
    <w:p>
      <w:pPr>
        <w:tabs>
          <w:tab w:val="right" w:leader="dot" w:pos="9555"/>
        </w:tabs>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4</w:t>
      </w:r>
      <w:r>
        <w:rPr>
          <w:rFonts w:hint="eastAsia" w:ascii="宋体" w:hAnsi="宋体"/>
          <w:color w:val="auto"/>
          <w:szCs w:val="21"/>
          <w:highlight w:val="none"/>
        </w:rPr>
        <w:t>. 工程内容及规模：</w:t>
      </w:r>
      <w:r>
        <w:rPr>
          <w:rFonts w:hint="eastAsia" w:ascii="宋体" w:hAnsi="宋体"/>
          <w:color w:val="auto"/>
          <w:szCs w:val="21"/>
          <w:highlight w:val="none"/>
          <w:u w:val="single"/>
        </w:rPr>
        <w:t>光伏电站暂定总装机容量约0.37MW（包括三岩寺加油站、城南加油站、城北加油站、七百秧加油站、富岭加油站、风化加油站、九里加油站）。</w:t>
      </w:r>
    </w:p>
    <w:p>
      <w:pPr>
        <w:tabs>
          <w:tab w:val="right" w:leader="dot" w:pos="9555"/>
        </w:tabs>
        <w:spacing w:line="360" w:lineRule="auto"/>
        <w:ind w:firstLine="420" w:firstLineChars="200"/>
        <w:jc w:val="left"/>
        <w:rPr>
          <w:rFonts w:ascii="宋体" w:hAnsi="宋体"/>
          <w:color w:val="auto"/>
          <w:highlight w:val="none"/>
          <w:u w:val="single"/>
        </w:rPr>
      </w:pPr>
      <w:r>
        <w:rPr>
          <w:rFonts w:ascii="宋体" w:hAnsi="宋体"/>
          <w:color w:val="auto"/>
          <w:szCs w:val="21"/>
          <w:highlight w:val="none"/>
        </w:rPr>
        <w:t>5</w:t>
      </w:r>
      <w:r>
        <w:rPr>
          <w:rFonts w:hint="eastAsia" w:ascii="宋体" w:hAnsi="宋体"/>
          <w:color w:val="auto"/>
          <w:szCs w:val="21"/>
          <w:highlight w:val="none"/>
        </w:rPr>
        <w:t xml:space="preserve"> 工程承包范围：</w:t>
      </w:r>
      <w:r>
        <w:rPr>
          <w:rFonts w:hint="eastAsia" w:ascii="宋体" w:hAnsi="宋体"/>
          <w:color w:val="auto"/>
          <w:highlight w:val="none"/>
          <w:u w:val="single"/>
        </w:rPr>
        <w:t>中石化丽水7座分布式光伏发电站项目</w:t>
      </w:r>
      <w:r>
        <w:rPr>
          <w:rFonts w:ascii="宋体" w:hAnsi="宋体"/>
          <w:color w:val="auto"/>
          <w:highlight w:val="none"/>
          <w:u w:val="single"/>
        </w:rPr>
        <w:t>，招标范围</w:t>
      </w:r>
      <w:r>
        <w:rPr>
          <w:rFonts w:hint="eastAsia" w:ascii="宋体" w:hAnsi="宋体"/>
          <w:color w:val="auto"/>
          <w:highlight w:val="none"/>
          <w:u w:val="single"/>
        </w:rPr>
        <w:t>包括但不限于：完成从光伏组件排布至正常并网发电的全部设计(设计过程中需进行建筑物屋面安全性复核、现场实地测量)以及设备材料采购供应、安装、后台监控、系统调试、试运行直至交付生产，以及在质量保修期内的消缺等全过程的工作，在满足合同其它责任和义务的同时使本项目达到相关验收标准的要求；项目实施过程中要求提供设备的试验、运行、维护手册；建设期整个项目保险（包括建筑、安装、设备、总承包方人员及第三方人员）；确保设备安装后建筑物的安全性，并配合业主办理并网相关手续。</w:t>
      </w:r>
    </w:p>
    <w:p>
      <w:pPr>
        <w:tabs>
          <w:tab w:val="right" w:leader="dot" w:pos="9555"/>
        </w:tabs>
        <w:spacing w:line="360" w:lineRule="auto"/>
        <w:ind w:firstLine="420" w:firstLineChars="200"/>
        <w:jc w:val="left"/>
        <w:rPr>
          <w:rFonts w:ascii="宋体" w:hAnsi="宋体"/>
          <w:color w:val="auto"/>
          <w:highlight w:val="none"/>
          <w:u w:val="single"/>
        </w:rPr>
      </w:pPr>
      <w:r>
        <w:rPr>
          <w:rFonts w:hint="eastAsia" w:ascii="宋体" w:hAnsi="宋体"/>
          <w:color w:val="auto"/>
          <w:highlight w:val="none"/>
          <w:u w:val="single"/>
        </w:rPr>
        <w:t>（1）设计：光伏发电范围内的光伏、电气、水工、土建等专业的设计工作，包括但不限于屋顶复核及测绘、初步设计、施工图设计以及上述设计所涉及的各项图纸送审工作。中标单位需将设计图纸CAD版本提交于招标人。</w:t>
      </w:r>
    </w:p>
    <w:p>
      <w:pPr>
        <w:tabs>
          <w:tab w:val="right" w:leader="dot" w:pos="9555"/>
        </w:tabs>
        <w:spacing w:line="360" w:lineRule="auto"/>
        <w:ind w:firstLine="420" w:firstLineChars="200"/>
        <w:jc w:val="left"/>
        <w:rPr>
          <w:rFonts w:ascii="宋体" w:hAnsi="宋体"/>
          <w:color w:val="auto"/>
          <w:highlight w:val="none"/>
          <w:u w:val="single"/>
        </w:rPr>
      </w:pPr>
      <w:r>
        <w:rPr>
          <w:rFonts w:hint="eastAsia" w:ascii="宋体" w:hAnsi="宋体"/>
          <w:color w:val="auto"/>
          <w:highlight w:val="none"/>
          <w:u w:val="single"/>
        </w:rPr>
        <w:t>（2）发改委备案：包含发改局申请备案请示、项目备案申请、企业投资项目备案、房屋所有权证明、项目公司相关资质文件梳理、出具解决方案（可研报告）等</w:t>
      </w:r>
    </w:p>
    <w:p>
      <w:pPr>
        <w:tabs>
          <w:tab w:val="right" w:leader="dot" w:pos="9555"/>
        </w:tabs>
        <w:spacing w:line="360" w:lineRule="auto"/>
        <w:ind w:firstLine="420" w:firstLineChars="200"/>
        <w:jc w:val="left"/>
        <w:rPr>
          <w:rFonts w:ascii="宋体" w:hAnsi="宋体"/>
          <w:color w:val="auto"/>
          <w:highlight w:val="none"/>
          <w:u w:val="single"/>
        </w:rPr>
      </w:pPr>
      <w:r>
        <w:rPr>
          <w:rFonts w:hint="eastAsia" w:ascii="宋体" w:hAnsi="宋体"/>
          <w:color w:val="auto"/>
          <w:highlight w:val="none"/>
          <w:u w:val="single"/>
        </w:rPr>
        <w:t>（3）设备：太阳能组件、组串式逆变器、屋顶支架、低压开关柜、交直流电缆、通讯及控制电缆、桥架、接入电气一次及二次设备（根据接入系统方案批复要求）、光伏监控系统、数据及视频采集传输设备（满足智能站控接入要求，数据导入现有监控平台）、消防设备以及各类辅材等所有本工程设计评审要求的设备。</w:t>
      </w:r>
    </w:p>
    <w:p>
      <w:pPr>
        <w:tabs>
          <w:tab w:val="right" w:leader="dot" w:pos="9555"/>
        </w:tabs>
        <w:spacing w:line="360" w:lineRule="auto"/>
        <w:ind w:firstLine="420" w:firstLineChars="200"/>
        <w:jc w:val="left"/>
        <w:rPr>
          <w:rFonts w:ascii="宋体" w:hAnsi="宋体"/>
          <w:color w:val="auto"/>
          <w:highlight w:val="none"/>
          <w:u w:val="single"/>
        </w:rPr>
      </w:pPr>
      <w:r>
        <w:rPr>
          <w:rFonts w:hint="eastAsia" w:ascii="宋体" w:hAnsi="宋体"/>
          <w:color w:val="auto"/>
          <w:highlight w:val="none"/>
          <w:u w:val="single"/>
        </w:rPr>
        <w:t>（4）土建、安装工程：设备基础工程（含墙地面修复等）；电缆敷设安装工程；防雷接地安装工程；电站系统设备安装工程（根据设计评审要求确定，含现场卸货、吊装、登高车费用、二次搬运、安全文明施工措施费等）；施工范围内的各项设备调试、试验及材料送检并提供相应报告。其中丽水九里加油站的苗木修剪需投标人自行考虑。</w:t>
      </w:r>
    </w:p>
    <w:p>
      <w:pPr>
        <w:tabs>
          <w:tab w:val="right" w:leader="dot" w:pos="9555"/>
        </w:tabs>
        <w:spacing w:line="360" w:lineRule="auto"/>
        <w:ind w:firstLine="420" w:firstLineChars="200"/>
        <w:jc w:val="left"/>
        <w:rPr>
          <w:rFonts w:ascii="宋体" w:hAnsi="宋体"/>
          <w:color w:val="auto"/>
          <w:highlight w:val="none"/>
          <w:u w:val="single"/>
        </w:rPr>
      </w:pPr>
      <w:r>
        <w:rPr>
          <w:rFonts w:hint="eastAsia" w:ascii="宋体" w:hAnsi="宋体"/>
          <w:color w:val="auto"/>
          <w:highlight w:val="none"/>
          <w:u w:val="single"/>
        </w:rPr>
        <w:t>（5）其他：运维上人楼梯、屋顶运维通道（设置需覆盖所有屋顶电气设备）、屋顶运维永久防护措施、电气设备的标牌及安全标识的采购安装；总包管理费用；质保期内设备的质量保修及维护工作；人员培训；运行手册；专用工具；备品备件。</w:t>
      </w:r>
    </w:p>
    <w:p>
      <w:pPr>
        <w:tabs>
          <w:tab w:val="right" w:leader="dot" w:pos="9555"/>
        </w:tabs>
        <w:spacing w:line="360" w:lineRule="auto"/>
        <w:ind w:firstLine="420" w:firstLineChars="200"/>
        <w:jc w:val="left"/>
        <w:rPr>
          <w:rFonts w:ascii="宋体" w:hAnsi="宋体"/>
          <w:color w:val="auto"/>
          <w:highlight w:val="none"/>
          <w:u w:val="single"/>
        </w:rPr>
      </w:pPr>
      <w:r>
        <w:rPr>
          <w:rFonts w:hint="eastAsia" w:ascii="宋体" w:hAnsi="宋体"/>
          <w:color w:val="auto"/>
          <w:highlight w:val="none"/>
          <w:u w:val="single"/>
        </w:rPr>
        <w:t>（6）并网申请与接入系统方案：包含并网申请、制定接入系统方案、确认接入系统方案、确认接入电网意见等</w:t>
      </w:r>
    </w:p>
    <w:p>
      <w:pPr>
        <w:tabs>
          <w:tab w:val="right" w:leader="dot" w:pos="9555"/>
        </w:tabs>
        <w:spacing w:line="360" w:lineRule="auto"/>
        <w:ind w:firstLine="420" w:firstLineChars="200"/>
        <w:jc w:val="left"/>
        <w:rPr>
          <w:rFonts w:ascii="宋体" w:hAnsi="宋体"/>
          <w:color w:val="auto"/>
          <w:highlight w:val="none"/>
          <w:u w:val="single"/>
        </w:rPr>
      </w:pPr>
      <w:r>
        <w:rPr>
          <w:rFonts w:ascii="宋体" w:hAnsi="宋体"/>
          <w:color w:val="auto"/>
          <w:highlight w:val="none"/>
          <w:u w:val="single"/>
        </w:rPr>
        <w:t>（</w:t>
      </w:r>
      <w:r>
        <w:rPr>
          <w:rFonts w:hint="eastAsia" w:ascii="宋体" w:hAnsi="宋体"/>
          <w:color w:val="auto"/>
          <w:highlight w:val="none"/>
          <w:u w:val="single"/>
        </w:rPr>
        <w:t>7</w:t>
      </w:r>
      <w:r>
        <w:rPr>
          <w:rFonts w:ascii="宋体" w:hAnsi="宋体"/>
          <w:color w:val="auto"/>
          <w:highlight w:val="none"/>
          <w:u w:val="single"/>
        </w:rPr>
        <w:t>）工程界限</w:t>
      </w:r>
    </w:p>
    <w:p>
      <w:pPr>
        <w:tabs>
          <w:tab w:val="right" w:leader="dot" w:pos="9555"/>
        </w:tabs>
        <w:spacing w:line="360" w:lineRule="auto"/>
        <w:ind w:firstLine="420" w:firstLineChars="200"/>
        <w:jc w:val="left"/>
        <w:rPr>
          <w:rFonts w:ascii="宋体" w:hAnsi="宋体"/>
          <w:color w:val="auto"/>
          <w:highlight w:val="none"/>
          <w:u w:val="single"/>
        </w:rPr>
      </w:pPr>
      <w:r>
        <w:rPr>
          <w:rFonts w:ascii="宋体" w:hAnsi="宋体"/>
          <w:color w:val="auto"/>
          <w:highlight w:val="none"/>
          <w:u w:val="single"/>
        </w:rPr>
        <w:t>本工程</w:t>
      </w:r>
      <w:r>
        <w:rPr>
          <w:rFonts w:hint="eastAsia" w:ascii="宋体" w:hAnsi="宋体"/>
          <w:color w:val="auto"/>
          <w:highlight w:val="none"/>
          <w:u w:val="single"/>
        </w:rPr>
        <w:t>1</w:t>
      </w:r>
      <w:r>
        <w:rPr>
          <w:rFonts w:ascii="宋体" w:hAnsi="宋体"/>
          <w:color w:val="auto"/>
          <w:highlight w:val="none"/>
          <w:u w:val="single"/>
        </w:rPr>
        <w:t>.出线并网系统一次设备的设计、采购、施工、调试</w:t>
      </w:r>
      <w:r>
        <w:rPr>
          <w:rFonts w:hint="eastAsia" w:ascii="宋体" w:hAnsi="宋体"/>
          <w:color w:val="auto"/>
          <w:highlight w:val="none"/>
          <w:u w:val="single"/>
        </w:rPr>
        <w:t>；2</w:t>
      </w:r>
      <w:r>
        <w:rPr>
          <w:rFonts w:ascii="宋体" w:hAnsi="宋体"/>
          <w:color w:val="auto"/>
          <w:highlight w:val="none"/>
          <w:u w:val="single"/>
        </w:rPr>
        <w:t>.继电保护及自动装置等二次系统的设计、采购、施工、调试</w:t>
      </w:r>
      <w:r>
        <w:rPr>
          <w:rFonts w:hint="eastAsia" w:ascii="宋体" w:hAnsi="宋体"/>
          <w:color w:val="auto"/>
          <w:highlight w:val="none"/>
          <w:u w:val="single"/>
        </w:rPr>
        <w:t>；3</w:t>
      </w:r>
      <w:r>
        <w:rPr>
          <w:rFonts w:ascii="宋体" w:hAnsi="宋体"/>
          <w:color w:val="auto"/>
          <w:highlight w:val="none"/>
          <w:u w:val="single"/>
        </w:rPr>
        <w:t>.</w:t>
      </w:r>
      <w:r>
        <w:rPr>
          <w:rFonts w:hint="eastAsia" w:ascii="宋体" w:hAnsi="宋体"/>
          <w:color w:val="auto"/>
          <w:highlight w:val="none"/>
          <w:u w:val="single"/>
        </w:rPr>
        <w:t>本工程相关防雷设计及施工等均</w:t>
      </w:r>
      <w:r>
        <w:rPr>
          <w:rFonts w:ascii="宋体" w:hAnsi="宋体"/>
          <w:color w:val="auto"/>
          <w:highlight w:val="none"/>
          <w:u w:val="single"/>
        </w:rPr>
        <w:t>属于投标人的承包范围。</w:t>
      </w:r>
      <w:r>
        <w:rPr>
          <w:rFonts w:hint="eastAsia" w:ascii="宋体" w:hAnsi="宋体"/>
          <w:color w:val="auto"/>
          <w:highlight w:val="none"/>
          <w:u w:val="single"/>
        </w:rPr>
        <w:t>该项目</w:t>
      </w:r>
      <w:r>
        <w:rPr>
          <w:rFonts w:ascii="宋体" w:hAnsi="宋体"/>
          <w:color w:val="auto"/>
          <w:highlight w:val="none"/>
          <w:u w:val="single"/>
        </w:rPr>
        <w:t>的施工需符合光伏电站的施工管理要求。</w:t>
      </w:r>
    </w:p>
    <w:p>
      <w:pPr>
        <w:tabs>
          <w:tab w:val="right" w:leader="dot" w:pos="9555"/>
        </w:tabs>
        <w:spacing w:line="360" w:lineRule="auto"/>
        <w:ind w:firstLine="420" w:firstLineChars="200"/>
        <w:jc w:val="left"/>
        <w:rPr>
          <w:rFonts w:ascii="宋体" w:hAnsi="宋体"/>
          <w:color w:val="auto"/>
          <w:highlight w:val="none"/>
          <w:u w:val="single"/>
        </w:rPr>
      </w:pPr>
      <w:r>
        <w:rPr>
          <w:rFonts w:ascii="宋体" w:hAnsi="宋体"/>
          <w:color w:val="auto"/>
          <w:highlight w:val="none"/>
          <w:u w:val="single"/>
        </w:rPr>
        <w:t>电站性能试验由投标人</w:t>
      </w:r>
      <w:r>
        <w:rPr>
          <w:rFonts w:hint="eastAsia" w:ascii="宋体" w:hAnsi="宋体"/>
          <w:color w:val="auto"/>
          <w:highlight w:val="none"/>
          <w:u w:val="single"/>
        </w:rPr>
        <w:t>承担，其试验结果必须通过电力部门验收，满足电力规范要求。</w:t>
      </w:r>
    </w:p>
    <w:p>
      <w:pPr>
        <w:tabs>
          <w:tab w:val="right" w:leader="dot" w:pos="9555"/>
        </w:tabs>
        <w:spacing w:line="360" w:lineRule="auto"/>
        <w:ind w:firstLine="420" w:firstLineChars="200"/>
        <w:jc w:val="left"/>
        <w:rPr>
          <w:rFonts w:ascii="宋体" w:hAnsi="宋体"/>
          <w:color w:val="auto"/>
          <w:highlight w:val="none"/>
          <w:u w:val="single"/>
        </w:rPr>
      </w:pPr>
      <w:r>
        <w:rPr>
          <w:rFonts w:ascii="宋体" w:hAnsi="宋体"/>
          <w:color w:val="auto"/>
          <w:highlight w:val="none"/>
          <w:u w:val="single"/>
        </w:rPr>
        <w:t>投标人应按招标人批准的施工组织设计的规划要求，负责在现场设计并修建承包认为需要的任何临时设施</w:t>
      </w:r>
      <w:r>
        <w:rPr>
          <w:rFonts w:hint="eastAsia" w:ascii="宋体" w:hAnsi="宋体"/>
          <w:color w:val="auto"/>
          <w:highlight w:val="none"/>
          <w:u w:val="single"/>
        </w:rPr>
        <w:t>，</w:t>
      </w:r>
      <w:r>
        <w:rPr>
          <w:rFonts w:ascii="宋体" w:hAnsi="宋体"/>
          <w:color w:val="auto"/>
          <w:highlight w:val="none"/>
          <w:u w:val="single"/>
        </w:rPr>
        <w:t>并在合同工程竣工或在投标人使用结束时，按招标人的要求拆除</w:t>
      </w:r>
      <w:r>
        <w:rPr>
          <w:rFonts w:hint="eastAsia" w:ascii="宋体" w:hAnsi="宋体"/>
          <w:color w:val="auto"/>
          <w:highlight w:val="none"/>
          <w:u w:val="single"/>
        </w:rPr>
        <w:t>并恢复原状</w:t>
      </w:r>
      <w:r>
        <w:rPr>
          <w:rFonts w:ascii="宋体" w:hAnsi="宋体"/>
          <w:color w:val="auto"/>
          <w:highlight w:val="none"/>
          <w:u w:val="single"/>
        </w:rPr>
        <w:t>。</w:t>
      </w:r>
    </w:p>
    <w:p>
      <w:pPr>
        <w:pStyle w:val="240"/>
        <w:numPr>
          <w:ilvl w:val="0"/>
          <w:numId w:val="0"/>
        </w:numPr>
        <w:wordWrap/>
        <w:topLinePunct w:val="0"/>
        <w:spacing w:afterLines="0"/>
        <w:outlineLvl w:val="9"/>
        <w:rPr>
          <w:b w:val="0"/>
          <w:bCs/>
          <w:color w:val="auto"/>
          <w:sz w:val="21"/>
          <w:szCs w:val="21"/>
          <w:highlight w:val="none"/>
        </w:rPr>
      </w:pPr>
      <w:bookmarkStart w:id="20" w:name="_Toc54862166"/>
      <w:r>
        <w:rPr>
          <w:rFonts w:hint="eastAsia"/>
          <w:b w:val="0"/>
          <w:bCs/>
          <w:color w:val="auto"/>
          <w:sz w:val="21"/>
          <w:szCs w:val="21"/>
          <w:highlight w:val="none"/>
        </w:rPr>
        <w:t>二、合同工期</w:t>
      </w:r>
      <w:bookmarkEnd w:id="20"/>
    </w:p>
    <w:p>
      <w:pPr>
        <w:spacing w:line="360" w:lineRule="auto"/>
        <w:ind w:firstLine="420"/>
        <w:rPr>
          <w:rFonts w:ascii="宋体" w:hAnsi="宋体"/>
          <w:color w:val="auto"/>
          <w:szCs w:val="21"/>
          <w:highlight w:val="none"/>
        </w:rPr>
      </w:pPr>
      <w:r>
        <w:rPr>
          <w:rFonts w:hint="eastAsia" w:ascii="宋体" w:hAnsi="宋体"/>
          <w:color w:val="auto"/>
          <w:szCs w:val="21"/>
          <w:highlight w:val="none"/>
        </w:rPr>
        <w:t>计划开始工作日期：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rPr>
          <w:rFonts w:ascii="宋体" w:hAnsi="宋体"/>
          <w:color w:val="auto"/>
          <w:szCs w:val="21"/>
          <w:highlight w:val="none"/>
        </w:rPr>
      </w:pPr>
      <w:r>
        <w:rPr>
          <w:rFonts w:hint="eastAsia" w:ascii="宋体" w:hAnsi="宋体"/>
          <w:color w:val="auto"/>
          <w:szCs w:val="21"/>
          <w:highlight w:val="none"/>
        </w:rPr>
        <w:t>计划开始现场施工日期：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rPr>
          <w:rFonts w:ascii="宋体" w:hAnsi="宋体"/>
          <w:color w:val="auto"/>
          <w:szCs w:val="21"/>
          <w:highlight w:val="none"/>
        </w:rPr>
      </w:pPr>
      <w:r>
        <w:rPr>
          <w:rFonts w:hint="eastAsia" w:ascii="宋体" w:hAnsi="宋体"/>
          <w:color w:val="auto"/>
          <w:szCs w:val="21"/>
          <w:highlight w:val="none"/>
        </w:rPr>
        <w:t>计划竣工日期：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rPr>
          <w:rFonts w:ascii="宋体" w:hAnsi="宋体"/>
          <w:color w:val="auto"/>
          <w:szCs w:val="21"/>
          <w:highlight w:val="none"/>
        </w:rPr>
      </w:pPr>
      <w:r>
        <w:rPr>
          <w:rFonts w:hint="eastAsia" w:ascii="宋体" w:hAnsi="宋体"/>
          <w:color w:val="auto"/>
          <w:szCs w:val="21"/>
          <w:highlight w:val="none"/>
        </w:rPr>
        <w:t>工期总日历天数：</w:t>
      </w:r>
      <w:r>
        <w:rPr>
          <w:rFonts w:ascii="宋体" w:hAnsi="宋体"/>
          <w:color w:val="auto"/>
          <w:szCs w:val="21"/>
          <w:highlight w:val="none"/>
          <w:u w:val="single"/>
        </w:rPr>
        <w:t xml:space="preserve">  </w:t>
      </w:r>
      <w:r>
        <w:rPr>
          <w:rFonts w:ascii="宋体" w:hAnsi="宋体" w:cs="宋体"/>
          <w:b/>
          <w:color w:val="auto"/>
          <w:szCs w:val="21"/>
          <w:highlight w:val="none"/>
          <w:u w:val="single"/>
        </w:rPr>
        <w:t xml:space="preserve">         </w:t>
      </w:r>
      <w:r>
        <w:rPr>
          <w:rFonts w:hint="eastAsia" w:ascii="宋体" w:hAnsi="宋体" w:cs="宋体"/>
          <w:b/>
          <w:color w:val="auto"/>
          <w:szCs w:val="21"/>
          <w:highlight w:val="none"/>
          <w:u w:val="single"/>
        </w:rPr>
        <w:t xml:space="preserve"> </w:t>
      </w:r>
      <w:r>
        <w:rPr>
          <w:rFonts w:hint="eastAsia" w:ascii="宋体" w:hAnsi="宋体"/>
          <w:color w:val="auto"/>
          <w:szCs w:val="21"/>
          <w:highlight w:val="none"/>
        </w:rPr>
        <w:t>，工期总日历天数与根据前述计划日期计算的工期天数不一致的，以工期总日历天数为准。</w:t>
      </w:r>
    </w:p>
    <w:p>
      <w:pPr>
        <w:pStyle w:val="240"/>
        <w:numPr>
          <w:ilvl w:val="0"/>
          <w:numId w:val="0"/>
        </w:numPr>
        <w:wordWrap/>
        <w:topLinePunct w:val="0"/>
        <w:spacing w:afterLines="0"/>
        <w:outlineLvl w:val="9"/>
        <w:rPr>
          <w:b w:val="0"/>
          <w:bCs/>
          <w:color w:val="auto"/>
          <w:sz w:val="21"/>
          <w:szCs w:val="21"/>
          <w:highlight w:val="none"/>
        </w:rPr>
      </w:pPr>
      <w:bookmarkStart w:id="21" w:name="_Toc54862167"/>
      <w:r>
        <w:rPr>
          <w:rFonts w:hint="eastAsia"/>
          <w:b w:val="0"/>
          <w:bCs/>
          <w:color w:val="auto"/>
          <w:sz w:val="21"/>
          <w:szCs w:val="21"/>
          <w:highlight w:val="none"/>
        </w:rPr>
        <w:t>三、质量标准</w:t>
      </w:r>
      <w:bookmarkEnd w:id="21"/>
    </w:p>
    <w:p>
      <w:pPr>
        <w:spacing w:line="360" w:lineRule="auto"/>
        <w:ind w:firstLine="420"/>
        <w:rPr>
          <w:rFonts w:ascii="宋体" w:hAnsi="宋体"/>
          <w:color w:val="auto"/>
          <w:szCs w:val="21"/>
          <w:highlight w:val="none"/>
        </w:rPr>
      </w:pPr>
      <w:r>
        <w:rPr>
          <w:rFonts w:hint="eastAsia" w:ascii="宋体" w:hAnsi="宋体"/>
          <w:color w:val="auto"/>
          <w:szCs w:val="21"/>
          <w:highlight w:val="none"/>
        </w:rPr>
        <w:t>工程质量标准：</w:t>
      </w:r>
      <w:r>
        <w:rPr>
          <w:rFonts w:hint="eastAsia" w:ascii="宋体" w:hAnsi="宋体"/>
          <w:color w:val="auto"/>
          <w:szCs w:val="21"/>
          <w:highlight w:val="none"/>
          <w:u w:val="single"/>
        </w:rPr>
        <w:t>通过电力局验收，并网发电</w:t>
      </w:r>
      <w:r>
        <w:rPr>
          <w:rFonts w:hint="eastAsia" w:ascii="宋体" w:hAnsi="宋体"/>
          <w:color w:val="auto"/>
          <w:szCs w:val="21"/>
          <w:highlight w:val="none"/>
        </w:rPr>
        <w:t>。</w:t>
      </w:r>
    </w:p>
    <w:p>
      <w:pPr>
        <w:pStyle w:val="240"/>
        <w:numPr>
          <w:ilvl w:val="0"/>
          <w:numId w:val="0"/>
        </w:numPr>
        <w:wordWrap/>
        <w:topLinePunct w:val="0"/>
        <w:spacing w:afterLines="0"/>
        <w:outlineLvl w:val="9"/>
        <w:rPr>
          <w:b w:val="0"/>
          <w:bCs/>
          <w:color w:val="auto"/>
          <w:sz w:val="21"/>
          <w:szCs w:val="21"/>
          <w:highlight w:val="none"/>
        </w:rPr>
      </w:pPr>
      <w:bookmarkStart w:id="22" w:name="_Toc54862168"/>
      <w:r>
        <w:rPr>
          <w:rFonts w:hint="eastAsia"/>
          <w:b w:val="0"/>
          <w:bCs/>
          <w:color w:val="auto"/>
          <w:sz w:val="21"/>
          <w:szCs w:val="21"/>
          <w:highlight w:val="none"/>
        </w:rPr>
        <w:t>四、签约合同价与合同价格形式</w:t>
      </w:r>
      <w:bookmarkEnd w:id="22"/>
    </w:p>
    <w:p>
      <w:pPr>
        <w:spacing w:line="360" w:lineRule="auto"/>
        <w:ind w:firstLine="420"/>
        <w:rPr>
          <w:rFonts w:ascii="宋体" w:hAnsi="宋体"/>
          <w:color w:val="auto"/>
          <w:szCs w:val="21"/>
          <w:highlight w:val="none"/>
        </w:rPr>
      </w:pPr>
      <w:r>
        <w:rPr>
          <w:rFonts w:hint="eastAsia" w:ascii="宋体" w:hAnsi="宋体"/>
          <w:color w:val="auto"/>
          <w:szCs w:val="21"/>
          <w:highlight w:val="none"/>
        </w:rPr>
        <w:t>1. 签约合同价（含税）为：</w:t>
      </w:r>
    </w:p>
    <w:p>
      <w:pPr>
        <w:spacing w:line="360" w:lineRule="auto"/>
        <w:ind w:firstLine="420"/>
        <w:rPr>
          <w:rFonts w:ascii="宋体" w:hAnsi="宋体"/>
          <w:color w:val="auto"/>
          <w:szCs w:val="21"/>
          <w:highlight w:val="none"/>
        </w:rPr>
      </w:pPr>
      <w:r>
        <w:rPr>
          <w:rFonts w:hint="eastAsia" w:ascii="宋体" w:hAnsi="宋体"/>
          <w:color w:val="auto"/>
          <w:szCs w:val="21"/>
          <w:highlight w:val="none"/>
        </w:rPr>
        <w:t xml:space="preserve">人民币（大写) </w:t>
      </w:r>
      <w:r>
        <w:rPr>
          <w:rFonts w:ascii="宋体" w:hAnsi="宋体"/>
          <w:color w:val="auto"/>
          <w:szCs w:val="21"/>
          <w:highlight w:val="none"/>
          <w:u w:val="single"/>
        </w:rPr>
        <w:t xml:space="preserve">                </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rPr>
        <w:t>元）。</w:t>
      </w:r>
    </w:p>
    <w:p>
      <w:pPr>
        <w:spacing w:line="360" w:lineRule="auto"/>
        <w:ind w:firstLine="420"/>
        <w:rPr>
          <w:rFonts w:ascii="宋体" w:hAnsi="宋体"/>
          <w:color w:val="auto"/>
          <w:szCs w:val="21"/>
          <w:highlight w:val="none"/>
        </w:rPr>
      </w:pPr>
      <w:r>
        <w:rPr>
          <w:rFonts w:hint="eastAsia" w:ascii="宋体" w:hAnsi="宋体"/>
          <w:color w:val="auto"/>
          <w:szCs w:val="21"/>
          <w:highlight w:val="none"/>
        </w:rPr>
        <w:t xml:space="preserve">具体构成详见价格清单。其中： </w:t>
      </w:r>
    </w:p>
    <w:p>
      <w:pPr>
        <w:spacing w:line="360" w:lineRule="auto"/>
        <w:ind w:firstLine="420"/>
        <w:rPr>
          <w:rFonts w:ascii="宋体" w:hAnsi="宋体"/>
          <w:color w:val="auto"/>
          <w:szCs w:val="21"/>
          <w:highlight w:val="none"/>
        </w:rPr>
      </w:pPr>
      <w:r>
        <w:rPr>
          <w:rFonts w:hint="eastAsia" w:ascii="宋体" w:hAnsi="宋体"/>
          <w:color w:val="auto"/>
          <w:szCs w:val="21"/>
          <w:highlight w:val="none"/>
        </w:rPr>
        <w:t>（1） 设计费（含税）：</w:t>
      </w:r>
    </w:p>
    <w:p>
      <w:pPr>
        <w:spacing w:line="360" w:lineRule="auto"/>
        <w:ind w:firstLine="420"/>
        <w:rPr>
          <w:rFonts w:ascii="宋体" w:hAnsi="宋体"/>
          <w:color w:val="auto"/>
          <w:szCs w:val="21"/>
          <w:highlight w:val="none"/>
        </w:rPr>
      </w:pPr>
      <w:r>
        <w:rPr>
          <w:rFonts w:hint="eastAsia" w:ascii="宋体" w:hAnsi="宋体"/>
          <w:color w:val="auto"/>
          <w:szCs w:val="21"/>
          <w:highlight w:val="none"/>
        </w:rPr>
        <w:t xml:space="preserve">人民币（大写) </w:t>
      </w:r>
      <w:r>
        <w:rPr>
          <w:rFonts w:ascii="宋体" w:hAnsi="宋体"/>
          <w:color w:val="auto"/>
          <w:szCs w:val="21"/>
          <w:highlight w:val="none"/>
          <w:u w:val="single"/>
        </w:rPr>
        <w:t xml:space="preserve">            </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rPr>
        <w:t>元）；适用税率：</w:t>
      </w:r>
      <w:r>
        <w:rPr>
          <w:rFonts w:ascii="宋体" w:hAnsi="宋体"/>
          <w:color w:val="auto"/>
          <w:szCs w:val="21"/>
          <w:highlight w:val="none"/>
          <w:u w:val="single"/>
        </w:rPr>
        <w:t xml:space="preserve">    </w:t>
      </w:r>
      <w:r>
        <w:rPr>
          <w:rFonts w:hint="eastAsia" w:ascii="宋体" w:hAnsi="宋体"/>
          <w:color w:val="auto"/>
          <w:szCs w:val="21"/>
          <w:highlight w:val="none"/>
        </w:rPr>
        <w:t>%，税金为人民币（大写)</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rPr>
        <w:t xml:space="preserve">元）； </w:t>
      </w:r>
    </w:p>
    <w:p>
      <w:pPr>
        <w:spacing w:line="360" w:lineRule="auto"/>
        <w:ind w:firstLine="420"/>
        <w:rPr>
          <w:rFonts w:ascii="宋体" w:hAnsi="宋体"/>
          <w:color w:val="auto"/>
          <w:szCs w:val="21"/>
          <w:highlight w:val="none"/>
        </w:rPr>
      </w:pPr>
      <w:r>
        <w:rPr>
          <w:rFonts w:hint="eastAsia" w:ascii="宋体" w:hAnsi="宋体"/>
          <w:color w:val="auto"/>
          <w:szCs w:val="21"/>
          <w:highlight w:val="none"/>
        </w:rPr>
        <w:t>（2） 设备购置费（含税）：</w:t>
      </w:r>
    </w:p>
    <w:p>
      <w:pPr>
        <w:spacing w:line="360" w:lineRule="auto"/>
        <w:ind w:firstLine="420"/>
        <w:rPr>
          <w:rFonts w:ascii="宋体" w:hAnsi="宋体"/>
          <w:color w:val="auto"/>
          <w:szCs w:val="21"/>
          <w:highlight w:val="none"/>
        </w:rPr>
      </w:pPr>
      <w:r>
        <w:rPr>
          <w:rFonts w:hint="eastAsia" w:ascii="宋体" w:hAnsi="宋体"/>
          <w:color w:val="auto"/>
          <w:szCs w:val="21"/>
          <w:highlight w:val="none"/>
        </w:rPr>
        <w:t xml:space="preserve">人民币（大写) </w:t>
      </w:r>
      <w:r>
        <w:rPr>
          <w:rFonts w:ascii="宋体" w:hAnsi="宋体"/>
          <w:color w:val="auto"/>
          <w:szCs w:val="21"/>
          <w:highlight w:val="none"/>
          <w:u w:val="single"/>
        </w:rPr>
        <w:t xml:space="preserve">            </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rPr>
        <w:t>元）；适用税率：</w:t>
      </w:r>
      <w:r>
        <w:rPr>
          <w:rFonts w:ascii="宋体" w:hAnsi="宋体"/>
          <w:color w:val="auto"/>
          <w:szCs w:val="21"/>
          <w:highlight w:val="none"/>
          <w:u w:val="single"/>
        </w:rPr>
        <w:t xml:space="preserve">   </w:t>
      </w:r>
      <w:r>
        <w:rPr>
          <w:rFonts w:hint="eastAsia" w:ascii="宋体" w:hAnsi="宋体"/>
          <w:color w:val="auto"/>
          <w:szCs w:val="21"/>
          <w:highlight w:val="none"/>
        </w:rPr>
        <w:t>%，税金为人民币（大写)</w:t>
      </w:r>
      <w:r>
        <w:rPr>
          <w:rFonts w:ascii="宋体" w:hAnsi="宋体"/>
          <w:color w:val="auto"/>
          <w:szCs w:val="21"/>
          <w:highlight w:val="none"/>
          <w:u w:val="single"/>
        </w:rPr>
        <w:t xml:space="preserve">          </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rPr>
        <w:t xml:space="preserve">元）； </w:t>
      </w:r>
    </w:p>
    <w:p>
      <w:pPr>
        <w:spacing w:line="360" w:lineRule="auto"/>
        <w:ind w:firstLine="420"/>
        <w:rPr>
          <w:rFonts w:ascii="宋体" w:hAnsi="宋体"/>
          <w:color w:val="auto"/>
          <w:szCs w:val="21"/>
          <w:highlight w:val="none"/>
        </w:rPr>
      </w:pPr>
      <w:r>
        <w:rPr>
          <w:rFonts w:hint="eastAsia" w:ascii="宋体" w:hAnsi="宋体"/>
          <w:color w:val="auto"/>
          <w:szCs w:val="21"/>
          <w:highlight w:val="none"/>
        </w:rPr>
        <w:t>（3） 建筑安装工程费（含税）：</w:t>
      </w:r>
    </w:p>
    <w:p>
      <w:pPr>
        <w:spacing w:line="360" w:lineRule="auto"/>
        <w:ind w:firstLine="42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rPr>
        <w:t>元）；适用税率：</w:t>
      </w:r>
      <w:r>
        <w:rPr>
          <w:rFonts w:ascii="宋体" w:hAnsi="宋体"/>
          <w:color w:val="auto"/>
          <w:szCs w:val="21"/>
          <w:highlight w:val="none"/>
          <w:u w:val="single"/>
        </w:rPr>
        <w:t xml:space="preserve">   </w:t>
      </w:r>
      <w:r>
        <w:rPr>
          <w:rFonts w:hint="eastAsia" w:ascii="宋体" w:hAnsi="宋体"/>
          <w:color w:val="auto"/>
          <w:szCs w:val="21"/>
          <w:highlight w:val="none"/>
        </w:rPr>
        <w:t>%，税金为人民币（大写)</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rPr>
        <w:t xml:space="preserve">元）； </w:t>
      </w:r>
    </w:p>
    <w:p>
      <w:pPr>
        <w:pStyle w:val="76"/>
        <w:spacing w:line="360" w:lineRule="auto"/>
        <w:rPr>
          <w:rFonts w:ascii="宋体" w:hAnsi="宋体"/>
          <w:color w:val="auto"/>
          <w:szCs w:val="21"/>
          <w:highlight w:val="none"/>
        </w:rPr>
      </w:pPr>
      <w:r>
        <w:rPr>
          <w:rFonts w:hint="eastAsia" w:ascii="宋体" w:hAnsi="宋体"/>
          <w:color w:val="auto"/>
          <w:szCs w:val="21"/>
          <w:highlight w:val="none"/>
        </w:rPr>
        <w:t>其中：安全文明施工基本费：（本项目的安全文明施工基本费必须专款专用的。）</w:t>
      </w:r>
    </w:p>
    <w:p>
      <w:pPr>
        <w:pStyle w:val="76"/>
        <w:spacing w:line="360" w:lineRule="auto"/>
        <w:rPr>
          <w:rFonts w:ascii="宋体" w:hAnsi="宋体"/>
          <w:color w:val="auto"/>
          <w:highlight w:val="none"/>
        </w:rPr>
      </w:pPr>
      <w:r>
        <w:rPr>
          <w:rFonts w:hint="eastAsia" w:ascii="宋体" w:hAnsi="宋体"/>
          <w:color w:val="auto"/>
          <w:szCs w:val="21"/>
          <w:highlight w:val="none"/>
        </w:rPr>
        <w:t>人民币（大写）                   (¥             元)；</w:t>
      </w:r>
    </w:p>
    <w:p>
      <w:pPr>
        <w:spacing w:line="360" w:lineRule="auto"/>
        <w:ind w:firstLine="42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 暂估价（含税）：</w:t>
      </w:r>
    </w:p>
    <w:p>
      <w:pPr>
        <w:spacing w:line="360" w:lineRule="auto"/>
        <w:ind w:firstLine="42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rPr>
        <w:t>元）。</w:t>
      </w:r>
    </w:p>
    <w:p>
      <w:pPr>
        <w:spacing w:line="360" w:lineRule="auto"/>
        <w:ind w:firstLine="42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 暂列金额（含税）：</w:t>
      </w:r>
    </w:p>
    <w:p>
      <w:pPr>
        <w:spacing w:line="360" w:lineRule="auto"/>
        <w:ind w:firstLine="42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rPr>
        <w:t>元）。</w:t>
      </w:r>
    </w:p>
    <w:p>
      <w:pPr>
        <w:spacing w:line="360" w:lineRule="auto"/>
        <w:ind w:firstLine="42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 xml:space="preserve"> </w:t>
      </w:r>
      <w:r>
        <w:rPr>
          <w:rFonts w:ascii="宋体" w:hAnsi="宋体"/>
          <w:color w:val="auto"/>
          <w:szCs w:val="21"/>
          <w:highlight w:val="none"/>
        </w:rPr>
        <w:t>双方约定的其他费用</w:t>
      </w:r>
      <w:r>
        <w:rPr>
          <w:rFonts w:hint="eastAsia" w:ascii="宋体" w:hAnsi="宋体"/>
          <w:color w:val="auto"/>
          <w:szCs w:val="21"/>
          <w:highlight w:val="none"/>
        </w:rPr>
        <w:t>（总承包</w:t>
      </w:r>
      <w:r>
        <w:rPr>
          <w:rFonts w:ascii="宋体" w:hAnsi="宋体"/>
          <w:color w:val="auto"/>
          <w:szCs w:val="21"/>
          <w:highlight w:val="none"/>
        </w:rPr>
        <w:t>管理</w:t>
      </w:r>
      <w:r>
        <w:rPr>
          <w:rFonts w:hint="eastAsia" w:ascii="宋体" w:hAnsi="宋体"/>
          <w:color w:val="auto"/>
          <w:szCs w:val="21"/>
          <w:highlight w:val="none"/>
        </w:rPr>
        <w:t>费）（含税）</w:t>
      </w:r>
      <w:r>
        <w:rPr>
          <w:rFonts w:ascii="宋体" w:hAnsi="宋体"/>
          <w:color w:val="auto"/>
          <w:szCs w:val="21"/>
          <w:highlight w:val="none"/>
        </w:rPr>
        <w:t>：</w:t>
      </w:r>
    </w:p>
    <w:p>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rPr>
        <w:t>元）；适用税率：</w:t>
      </w:r>
      <w:r>
        <w:rPr>
          <w:rFonts w:hint="eastAsia" w:ascii="宋体" w:hAnsi="宋体"/>
          <w:color w:val="auto"/>
          <w:szCs w:val="21"/>
          <w:highlight w:val="none"/>
          <w:u w:val="single"/>
        </w:rPr>
        <w:t xml:space="preserve">         </w:t>
      </w:r>
      <w:r>
        <w:rPr>
          <w:rFonts w:ascii="宋体" w:hAnsi="宋体"/>
          <w:color w:val="auto"/>
          <w:szCs w:val="21"/>
          <w:highlight w:val="none"/>
        </w:rPr>
        <w:t>%，税金为人民币（大写)</w:t>
      </w:r>
      <w:r>
        <w:rPr>
          <w:rFonts w:hint="eastAsia"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rPr>
        <w:t>元）。</w:t>
      </w:r>
    </w:p>
    <w:p>
      <w:pPr>
        <w:spacing w:line="360" w:lineRule="auto"/>
        <w:ind w:firstLine="420"/>
        <w:rPr>
          <w:rFonts w:ascii="宋体" w:hAnsi="宋体"/>
          <w:color w:val="auto"/>
          <w:szCs w:val="21"/>
          <w:highlight w:val="none"/>
        </w:rPr>
      </w:pPr>
      <w:r>
        <w:rPr>
          <w:rFonts w:hint="eastAsia" w:ascii="宋体" w:hAnsi="宋体"/>
          <w:color w:val="auto"/>
          <w:szCs w:val="21"/>
          <w:highlight w:val="none"/>
        </w:rPr>
        <w:t>2. 合同价格形式：</w:t>
      </w:r>
    </w:p>
    <w:p>
      <w:pPr>
        <w:spacing w:line="360" w:lineRule="auto"/>
        <w:ind w:firstLine="420"/>
        <w:rPr>
          <w:rFonts w:ascii="宋体" w:hAnsi="宋体"/>
          <w:color w:val="auto"/>
          <w:szCs w:val="21"/>
          <w:highlight w:val="none"/>
        </w:rPr>
      </w:pPr>
      <w:r>
        <w:rPr>
          <w:rFonts w:hint="eastAsia" w:ascii="宋体" w:hAnsi="宋体"/>
          <w:color w:val="auto"/>
          <w:szCs w:val="21"/>
          <w:highlight w:val="none"/>
        </w:rPr>
        <w:t>合同价格形式为单价合同，除根据合同约定的在工程实施过程中需进行增减的款项外，合同价格不予调整，但合同当事人另有约定的除外。</w:t>
      </w:r>
    </w:p>
    <w:p>
      <w:pPr>
        <w:kinsoku w:val="0"/>
        <w:spacing w:line="360" w:lineRule="auto"/>
        <w:ind w:left="263" w:leftChars="125" w:firstLine="210" w:firstLineChars="100"/>
        <w:jc w:val="left"/>
        <w:rPr>
          <w:rFonts w:ascii="宋体" w:hAnsi="宋体"/>
          <w:color w:val="auto"/>
          <w:szCs w:val="21"/>
          <w:highlight w:val="none"/>
        </w:rPr>
      </w:pPr>
      <w:r>
        <w:rPr>
          <w:rFonts w:hint="eastAsia" w:ascii="宋体" w:hAnsi="宋体"/>
          <w:color w:val="auto"/>
          <w:szCs w:val="21"/>
          <w:highlight w:val="none"/>
        </w:rPr>
        <w:t>合同当事人对合同价格形式的其他约定：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240"/>
        <w:numPr>
          <w:ilvl w:val="0"/>
          <w:numId w:val="0"/>
        </w:numPr>
        <w:wordWrap/>
        <w:topLinePunct w:val="0"/>
        <w:spacing w:afterLines="0"/>
        <w:outlineLvl w:val="9"/>
        <w:rPr>
          <w:b w:val="0"/>
          <w:bCs/>
          <w:color w:val="auto"/>
          <w:sz w:val="21"/>
          <w:szCs w:val="21"/>
          <w:highlight w:val="none"/>
        </w:rPr>
      </w:pPr>
      <w:bookmarkStart w:id="23" w:name="_Toc54862169"/>
      <w:r>
        <w:rPr>
          <w:rFonts w:hint="eastAsia"/>
          <w:b w:val="0"/>
          <w:bCs/>
          <w:color w:val="auto"/>
          <w:sz w:val="21"/>
          <w:szCs w:val="21"/>
          <w:highlight w:val="none"/>
        </w:rPr>
        <w:t>五、工程总承包项目经理</w:t>
      </w:r>
      <w:bookmarkEnd w:id="23"/>
    </w:p>
    <w:p>
      <w:pPr>
        <w:spacing w:line="360" w:lineRule="auto"/>
        <w:ind w:firstLine="420"/>
        <w:rPr>
          <w:rFonts w:ascii="宋体" w:hAnsi="宋体"/>
          <w:color w:val="auto"/>
          <w:szCs w:val="21"/>
          <w:highlight w:val="none"/>
        </w:rPr>
      </w:pPr>
      <w:r>
        <w:rPr>
          <w:rFonts w:hint="eastAsia" w:ascii="宋体" w:hAnsi="宋体"/>
          <w:color w:val="auto"/>
          <w:szCs w:val="21"/>
          <w:highlight w:val="none"/>
        </w:rPr>
        <w:t>工程总承包项目经理：</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240"/>
        <w:numPr>
          <w:ilvl w:val="0"/>
          <w:numId w:val="0"/>
        </w:numPr>
        <w:wordWrap/>
        <w:topLinePunct w:val="0"/>
        <w:spacing w:afterLines="0"/>
        <w:outlineLvl w:val="9"/>
        <w:rPr>
          <w:b w:val="0"/>
          <w:bCs/>
          <w:color w:val="auto"/>
          <w:sz w:val="21"/>
          <w:szCs w:val="21"/>
          <w:highlight w:val="none"/>
        </w:rPr>
      </w:pPr>
      <w:bookmarkStart w:id="24" w:name="_Toc54862170"/>
      <w:r>
        <w:rPr>
          <w:rFonts w:hint="eastAsia"/>
          <w:b w:val="0"/>
          <w:bCs/>
          <w:color w:val="auto"/>
          <w:sz w:val="21"/>
          <w:szCs w:val="21"/>
          <w:highlight w:val="none"/>
        </w:rPr>
        <w:t>六、合同文件构成</w:t>
      </w:r>
      <w:bookmarkEnd w:id="24"/>
    </w:p>
    <w:p>
      <w:pPr>
        <w:spacing w:line="360" w:lineRule="auto"/>
        <w:ind w:firstLine="420"/>
        <w:rPr>
          <w:rFonts w:ascii="宋体" w:hAnsi="宋体"/>
          <w:color w:val="auto"/>
          <w:szCs w:val="21"/>
          <w:highlight w:val="none"/>
        </w:rPr>
      </w:pPr>
      <w:r>
        <w:rPr>
          <w:rFonts w:hint="eastAsia" w:ascii="宋体" w:hAnsi="宋体"/>
          <w:color w:val="auto"/>
          <w:szCs w:val="21"/>
          <w:highlight w:val="none"/>
        </w:rPr>
        <w:t xml:space="preserve">本协议书与下列文件一起构成合同文件： </w:t>
      </w:r>
    </w:p>
    <w:p>
      <w:pPr>
        <w:spacing w:line="360" w:lineRule="auto"/>
        <w:ind w:firstLine="420"/>
        <w:rPr>
          <w:rFonts w:ascii="宋体" w:hAnsi="宋体"/>
          <w:color w:val="auto"/>
          <w:szCs w:val="21"/>
          <w:highlight w:val="none"/>
        </w:rPr>
      </w:pPr>
      <w:r>
        <w:rPr>
          <w:rFonts w:hint="eastAsia" w:ascii="宋体" w:hAnsi="宋体"/>
          <w:color w:val="auto"/>
          <w:szCs w:val="21"/>
          <w:highlight w:val="none"/>
        </w:rPr>
        <w:t>（1） 中标通知书（如果有）；</w:t>
      </w:r>
    </w:p>
    <w:p>
      <w:pPr>
        <w:spacing w:line="360" w:lineRule="auto"/>
        <w:ind w:firstLine="420"/>
        <w:rPr>
          <w:rFonts w:ascii="宋体" w:hAnsi="宋体"/>
          <w:color w:val="auto"/>
          <w:szCs w:val="21"/>
          <w:highlight w:val="none"/>
        </w:rPr>
      </w:pPr>
      <w:r>
        <w:rPr>
          <w:rFonts w:hint="eastAsia" w:ascii="宋体" w:hAnsi="宋体"/>
          <w:color w:val="auto"/>
          <w:szCs w:val="21"/>
          <w:highlight w:val="none"/>
        </w:rPr>
        <w:t>（2） 投标函及投标函附录（如果有）；</w:t>
      </w:r>
    </w:p>
    <w:p>
      <w:pPr>
        <w:spacing w:line="360" w:lineRule="auto"/>
        <w:ind w:firstLine="420"/>
        <w:rPr>
          <w:rFonts w:ascii="宋体" w:hAnsi="宋体"/>
          <w:color w:val="auto"/>
          <w:szCs w:val="21"/>
          <w:highlight w:val="none"/>
        </w:rPr>
      </w:pPr>
      <w:r>
        <w:rPr>
          <w:rFonts w:hint="eastAsia" w:ascii="宋体" w:hAnsi="宋体"/>
          <w:color w:val="auto"/>
          <w:szCs w:val="21"/>
          <w:highlight w:val="none"/>
        </w:rPr>
        <w:t>（3） 专用合同条件及《发包人要求》等附件；</w:t>
      </w:r>
    </w:p>
    <w:p>
      <w:pPr>
        <w:spacing w:line="360" w:lineRule="auto"/>
        <w:ind w:firstLine="420"/>
        <w:rPr>
          <w:rFonts w:ascii="宋体" w:hAnsi="宋体"/>
          <w:color w:val="auto"/>
          <w:szCs w:val="21"/>
          <w:highlight w:val="none"/>
        </w:rPr>
      </w:pPr>
      <w:r>
        <w:rPr>
          <w:rFonts w:hint="eastAsia" w:ascii="宋体" w:hAnsi="宋体"/>
          <w:color w:val="auto"/>
          <w:szCs w:val="21"/>
          <w:highlight w:val="none"/>
        </w:rPr>
        <w:t>（4） 通用合同条件；</w:t>
      </w:r>
    </w:p>
    <w:p>
      <w:pPr>
        <w:spacing w:line="360" w:lineRule="auto"/>
        <w:ind w:firstLine="42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 xml:space="preserve">） 承包人建议书； </w:t>
      </w:r>
    </w:p>
    <w:p>
      <w:pPr>
        <w:spacing w:line="360" w:lineRule="auto"/>
        <w:ind w:firstLine="42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 价格清单；</w:t>
      </w:r>
    </w:p>
    <w:p>
      <w:pPr>
        <w:spacing w:line="360" w:lineRule="auto"/>
        <w:ind w:firstLine="42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7</w:t>
      </w:r>
      <w:r>
        <w:rPr>
          <w:rFonts w:hint="eastAsia" w:ascii="宋体" w:hAnsi="宋体"/>
          <w:color w:val="auto"/>
          <w:szCs w:val="21"/>
          <w:highlight w:val="none"/>
        </w:rPr>
        <w:t>） 双方约定的其他合同文件。</w:t>
      </w:r>
    </w:p>
    <w:p>
      <w:pPr>
        <w:spacing w:line="360" w:lineRule="auto"/>
        <w:ind w:firstLine="420"/>
        <w:rPr>
          <w:rFonts w:ascii="宋体" w:hAnsi="宋体"/>
          <w:color w:val="auto"/>
          <w:szCs w:val="21"/>
          <w:highlight w:val="none"/>
        </w:rPr>
      </w:pPr>
      <w:r>
        <w:rPr>
          <w:rFonts w:hint="eastAsia" w:ascii="宋体" w:hAnsi="宋体"/>
          <w:color w:val="auto"/>
          <w:szCs w:val="21"/>
          <w:highlight w:val="none"/>
        </w:rPr>
        <w:t>上述各项合同文件包括双方就该项合同文件所作出的补充和修改，属于同一类内容的合同文件应以最新签署的为准。专用合同条件及其附件须经合同当事人签字或盖章。</w:t>
      </w:r>
    </w:p>
    <w:p>
      <w:pPr>
        <w:pStyle w:val="240"/>
        <w:numPr>
          <w:ilvl w:val="0"/>
          <w:numId w:val="0"/>
        </w:numPr>
        <w:wordWrap/>
        <w:topLinePunct w:val="0"/>
        <w:spacing w:afterLines="0"/>
        <w:outlineLvl w:val="9"/>
        <w:rPr>
          <w:b w:val="0"/>
          <w:bCs/>
          <w:color w:val="auto"/>
          <w:sz w:val="21"/>
          <w:szCs w:val="21"/>
          <w:highlight w:val="none"/>
        </w:rPr>
      </w:pPr>
      <w:bookmarkStart w:id="25" w:name="_Toc54862171"/>
      <w:r>
        <w:rPr>
          <w:rFonts w:hint="eastAsia"/>
          <w:b w:val="0"/>
          <w:bCs/>
          <w:color w:val="auto"/>
          <w:sz w:val="21"/>
          <w:szCs w:val="21"/>
          <w:highlight w:val="none"/>
        </w:rPr>
        <w:t>七、承诺</w:t>
      </w:r>
      <w:bookmarkEnd w:id="25"/>
    </w:p>
    <w:p>
      <w:pPr>
        <w:spacing w:line="360" w:lineRule="auto"/>
        <w:ind w:firstLine="420"/>
        <w:rPr>
          <w:rFonts w:ascii="宋体" w:hAnsi="宋体"/>
          <w:color w:val="auto"/>
          <w:szCs w:val="21"/>
          <w:highlight w:val="none"/>
        </w:rPr>
      </w:pPr>
      <w:r>
        <w:rPr>
          <w:rFonts w:hint="eastAsia" w:ascii="宋体" w:hAnsi="宋体"/>
          <w:color w:val="auto"/>
          <w:szCs w:val="21"/>
          <w:highlight w:val="none"/>
        </w:rPr>
        <w:t>1. 发包人承诺按照法律规定履行项目审批手续、筹集工程建设资金并按照合同约定的期限和方式支付合同价款。</w:t>
      </w:r>
    </w:p>
    <w:p>
      <w:pPr>
        <w:spacing w:line="360" w:lineRule="auto"/>
        <w:ind w:firstLine="420"/>
        <w:rPr>
          <w:rFonts w:ascii="宋体" w:hAnsi="宋体"/>
          <w:color w:val="auto"/>
          <w:szCs w:val="21"/>
          <w:highlight w:val="none"/>
        </w:rPr>
      </w:pPr>
      <w:r>
        <w:rPr>
          <w:rFonts w:hint="eastAsia" w:ascii="宋体" w:hAnsi="宋体"/>
          <w:color w:val="auto"/>
          <w:szCs w:val="21"/>
          <w:highlight w:val="none"/>
        </w:rPr>
        <w:t>2. 承包人承诺按照法律规定及合同约定组织完成工程的设计、采购和施工等工作，确保工程质量和安全，不进行转包及违法分包，并在缺陷责任期及保修期内承担相应的工程维修责任。</w:t>
      </w:r>
    </w:p>
    <w:p>
      <w:pPr>
        <w:pStyle w:val="240"/>
        <w:numPr>
          <w:ilvl w:val="0"/>
          <w:numId w:val="0"/>
        </w:numPr>
        <w:wordWrap/>
        <w:topLinePunct w:val="0"/>
        <w:spacing w:afterLines="0"/>
        <w:outlineLvl w:val="9"/>
        <w:rPr>
          <w:b w:val="0"/>
          <w:bCs/>
          <w:color w:val="auto"/>
          <w:sz w:val="21"/>
          <w:szCs w:val="21"/>
          <w:highlight w:val="none"/>
        </w:rPr>
      </w:pPr>
      <w:bookmarkStart w:id="26" w:name="_Toc54862172"/>
      <w:r>
        <w:rPr>
          <w:rFonts w:hint="eastAsia"/>
          <w:b w:val="0"/>
          <w:bCs/>
          <w:color w:val="auto"/>
          <w:sz w:val="21"/>
          <w:szCs w:val="21"/>
          <w:highlight w:val="none"/>
        </w:rPr>
        <w:t>八、订立时间</w:t>
      </w:r>
      <w:bookmarkEnd w:id="26"/>
    </w:p>
    <w:p>
      <w:pPr>
        <w:spacing w:line="360" w:lineRule="auto"/>
        <w:ind w:firstLine="420"/>
        <w:rPr>
          <w:rFonts w:ascii="宋体" w:hAnsi="宋体"/>
          <w:color w:val="auto"/>
          <w:szCs w:val="21"/>
          <w:highlight w:val="none"/>
        </w:rPr>
      </w:pPr>
      <w:r>
        <w:rPr>
          <w:rFonts w:hint="eastAsia" w:ascii="宋体" w:hAnsi="宋体"/>
          <w:color w:val="auto"/>
          <w:szCs w:val="21"/>
          <w:highlight w:val="none"/>
        </w:rPr>
        <w:t>本合同于</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日订立。</w:t>
      </w:r>
    </w:p>
    <w:p>
      <w:pPr>
        <w:pStyle w:val="240"/>
        <w:numPr>
          <w:ilvl w:val="0"/>
          <w:numId w:val="0"/>
        </w:numPr>
        <w:wordWrap/>
        <w:topLinePunct w:val="0"/>
        <w:spacing w:afterLines="0"/>
        <w:outlineLvl w:val="9"/>
        <w:rPr>
          <w:b w:val="0"/>
          <w:bCs/>
          <w:color w:val="auto"/>
          <w:sz w:val="21"/>
          <w:szCs w:val="21"/>
          <w:highlight w:val="none"/>
        </w:rPr>
      </w:pPr>
      <w:bookmarkStart w:id="27" w:name="_Toc54862173"/>
      <w:r>
        <w:rPr>
          <w:rFonts w:hint="eastAsia"/>
          <w:b w:val="0"/>
          <w:bCs/>
          <w:color w:val="auto"/>
          <w:sz w:val="21"/>
          <w:szCs w:val="21"/>
          <w:highlight w:val="none"/>
        </w:rPr>
        <w:t>九、订立地点</w:t>
      </w:r>
      <w:bookmarkEnd w:id="27"/>
    </w:p>
    <w:p>
      <w:pPr>
        <w:spacing w:line="360" w:lineRule="auto"/>
        <w:ind w:firstLine="420"/>
        <w:rPr>
          <w:rFonts w:ascii="宋体" w:hAnsi="宋体"/>
          <w:color w:val="auto"/>
          <w:szCs w:val="21"/>
          <w:highlight w:val="none"/>
        </w:rPr>
      </w:pPr>
      <w:r>
        <w:rPr>
          <w:rFonts w:hint="eastAsia" w:ascii="宋体" w:hAnsi="宋体"/>
          <w:color w:val="auto"/>
          <w:szCs w:val="21"/>
          <w:highlight w:val="none"/>
        </w:rPr>
        <w:t>本合同在</w:t>
      </w:r>
      <w:r>
        <w:rPr>
          <w:rFonts w:ascii="宋体" w:hAnsi="宋体"/>
          <w:color w:val="auto"/>
          <w:szCs w:val="21"/>
          <w:highlight w:val="none"/>
          <w:u w:val="single"/>
        </w:rPr>
        <w:t xml:space="preserve">                        </w:t>
      </w:r>
      <w:r>
        <w:rPr>
          <w:rFonts w:hint="eastAsia" w:ascii="宋体" w:hAnsi="宋体"/>
          <w:color w:val="auto"/>
          <w:szCs w:val="21"/>
          <w:highlight w:val="none"/>
        </w:rPr>
        <w:t>订立。</w:t>
      </w:r>
    </w:p>
    <w:p>
      <w:pPr>
        <w:pStyle w:val="240"/>
        <w:numPr>
          <w:ilvl w:val="0"/>
          <w:numId w:val="0"/>
        </w:numPr>
        <w:wordWrap/>
        <w:topLinePunct w:val="0"/>
        <w:spacing w:afterLines="0"/>
        <w:outlineLvl w:val="9"/>
        <w:rPr>
          <w:b w:val="0"/>
          <w:bCs/>
          <w:color w:val="auto"/>
          <w:sz w:val="21"/>
          <w:szCs w:val="21"/>
          <w:highlight w:val="none"/>
        </w:rPr>
      </w:pPr>
      <w:bookmarkStart w:id="28" w:name="_Toc54862174"/>
      <w:r>
        <w:rPr>
          <w:rFonts w:hint="eastAsia"/>
          <w:b w:val="0"/>
          <w:bCs/>
          <w:color w:val="auto"/>
          <w:sz w:val="21"/>
          <w:szCs w:val="21"/>
          <w:highlight w:val="none"/>
        </w:rPr>
        <w:t>十、合同生效</w:t>
      </w:r>
      <w:bookmarkEnd w:id="28"/>
    </w:p>
    <w:p>
      <w:pPr>
        <w:spacing w:line="360" w:lineRule="auto"/>
        <w:ind w:firstLine="420"/>
        <w:rPr>
          <w:rFonts w:ascii="宋体" w:hAnsi="宋体"/>
          <w:color w:val="auto"/>
          <w:szCs w:val="21"/>
          <w:highlight w:val="none"/>
        </w:rPr>
      </w:pPr>
      <w:r>
        <w:rPr>
          <w:rFonts w:hint="eastAsia" w:ascii="宋体" w:hAnsi="宋体"/>
          <w:color w:val="auto"/>
          <w:szCs w:val="21"/>
          <w:highlight w:val="none"/>
        </w:rPr>
        <w:t>本合同经双方签字或盖章后成立，并自</w:t>
      </w:r>
      <w:r>
        <w:rPr>
          <w:rFonts w:ascii="宋体" w:hAnsi="宋体"/>
          <w:color w:val="auto"/>
          <w:szCs w:val="21"/>
          <w:highlight w:val="none"/>
          <w:u w:val="single"/>
        </w:rPr>
        <w:t xml:space="preserve">            </w:t>
      </w:r>
      <w:r>
        <w:rPr>
          <w:rFonts w:hint="eastAsia" w:ascii="宋体" w:hAnsi="宋体"/>
          <w:color w:val="auto"/>
          <w:szCs w:val="21"/>
          <w:highlight w:val="none"/>
        </w:rPr>
        <w:t>生效。</w:t>
      </w:r>
    </w:p>
    <w:p>
      <w:pPr>
        <w:pStyle w:val="240"/>
        <w:numPr>
          <w:ilvl w:val="0"/>
          <w:numId w:val="0"/>
        </w:numPr>
        <w:wordWrap/>
        <w:topLinePunct w:val="0"/>
        <w:spacing w:afterLines="0"/>
        <w:outlineLvl w:val="9"/>
        <w:rPr>
          <w:b w:val="0"/>
          <w:bCs/>
          <w:color w:val="auto"/>
          <w:sz w:val="21"/>
          <w:szCs w:val="21"/>
          <w:highlight w:val="none"/>
        </w:rPr>
      </w:pPr>
      <w:bookmarkStart w:id="29" w:name="_Toc54862175"/>
      <w:r>
        <w:rPr>
          <w:rFonts w:hint="eastAsia"/>
          <w:b w:val="0"/>
          <w:bCs/>
          <w:color w:val="auto"/>
          <w:sz w:val="21"/>
          <w:szCs w:val="21"/>
          <w:highlight w:val="none"/>
        </w:rPr>
        <w:t>十一、合同份数</w:t>
      </w:r>
      <w:bookmarkEnd w:id="29"/>
    </w:p>
    <w:p>
      <w:pPr>
        <w:spacing w:line="360" w:lineRule="auto"/>
        <w:ind w:firstLine="420"/>
        <w:rPr>
          <w:rFonts w:ascii="宋体" w:hAnsi="宋体"/>
          <w:color w:val="auto"/>
          <w:szCs w:val="21"/>
          <w:highlight w:val="none"/>
        </w:rPr>
      </w:pPr>
      <w:r>
        <w:rPr>
          <w:rFonts w:hint="eastAsia" w:ascii="宋体" w:hAnsi="宋体"/>
          <w:color w:val="auto"/>
          <w:szCs w:val="21"/>
          <w:highlight w:val="none"/>
        </w:rPr>
        <w:t>本合同一式</w:t>
      </w:r>
      <w:r>
        <w:rPr>
          <w:rFonts w:ascii="宋体" w:hAnsi="宋体"/>
          <w:color w:val="auto"/>
          <w:szCs w:val="21"/>
          <w:highlight w:val="none"/>
          <w:u w:val="single"/>
        </w:rPr>
        <w:t xml:space="preserve">    </w:t>
      </w:r>
      <w:r>
        <w:rPr>
          <w:rFonts w:hint="eastAsia" w:ascii="宋体" w:hAnsi="宋体"/>
          <w:color w:val="auto"/>
          <w:szCs w:val="21"/>
          <w:highlight w:val="none"/>
        </w:rPr>
        <w:t>份，均具有同等法律效力，发包人执</w:t>
      </w:r>
      <w:r>
        <w:rPr>
          <w:rFonts w:ascii="宋体" w:hAnsi="宋体"/>
          <w:color w:val="auto"/>
          <w:szCs w:val="21"/>
          <w:highlight w:val="none"/>
          <w:u w:val="single"/>
        </w:rPr>
        <w:t xml:space="preserve">    </w:t>
      </w:r>
      <w:r>
        <w:rPr>
          <w:rFonts w:hint="eastAsia" w:ascii="宋体" w:hAnsi="宋体"/>
          <w:color w:val="auto"/>
          <w:szCs w:val="21"/>
          <w:highlight w:val="none"/>
        </w:rPr>
        <w:t>份，承包人执</w:t>
      </w:r>
      <w:r>
        <w:rPr>
          <w:rFonts w:ascii="宋体" w:hAnsi="宋体"/>
          <w:color w:val="auto"/>
          <w:szCs w:val="21"/>
          <w:highlight w:val="none"/>
          <w:u w:val="single"/>
        </w:rPr>
        <w:t xml:space="preserve">    </w:t>
      </w:r>
      <w:r>
        <w:rPr>
          <w:rFonts w:hint="eastAsia" w:ascii="宋体" w:hAnsi="宋体"/>
          <w:color w:val="auto"/>
          <w:szCs w:val="21"/>
          <w:highlight w:val="none"/>
        </w:rPr>
        <w:t>份。</w:t>
      </w:r>
    </w:p>
    <w:p>
      <w:pPr>
        <w:spacing w:line="360" w:lineRule="auto"/>
        <w:ind w:firstLine="420"/>
        <w:rPr>
          <w:color w:val="auto"/>
          <w:szCs w:val="21"/>
          <w:highlight w:val="none"/>
        </w:rPr>
      </w:pPr>
    </w:p>
    <w:tbl>
      <w:tblPr>
        <w:tblStyle w:val="48"/>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tblPrEx>
          <w:tblCellMar>
            <w:top w:w="0" w:type="dxa"/>
            <w:left w:w="108" w:type="dxa"/>
            <w:bottom w:w="0" w:type="dxa"/>
            <w:right w:w="108" w:type="dxa"/>
          </w:tblCellMar>
        </w:tblPrEx>
        <w:tc>
          <w:tcPr>
            <w:tcW w:w="4507" w:type="dxa"/>
          </w:tcPr>
          <w:p>
            <w:pPr>
              <w:pStyle w:val="245"/>
              <w:framePr w:hSpace="0" w:wrap="auto" w:vAnchor="margin" w:hAnchor="text" w:yAlign="inline"/>
              <w:spacing w:line="360" w:lineRule="auto"/>
              <w:rPr>
                <w:rFonts w:hAnsi="宋体"/>
                <w:color w:val="auto"/>
                <w:sz w:val="21"/>
                <w:szCs w:val="21"/>
                <w:highlight w:val="none"/>
              </w:rPr>
            </w:pPr>
            <w:r>
              <w:rPr>
                <w:rFonts w:hint="eastAsia" w:hAnsi="宋体"/>
                <w:color w:val="auto"/>
                <w:sz w:val="21"/>
                <w:szCs w:val="21"/>
                <w:highlight w:val="none"/>
              </w:rPr>
              <w:t>发包人：（公章）</w:t>
            </w:r>
          </w:p>
          <w:p>
            <w:pPr>
              <w:pStyle w:val="245"/>
              <w:framePr w:hSpace="0" w:wrap="auto" w:vAnchor="margin" w:hAnchor="text" w:yAlign="inline"/>
              <w:spacing w:line="360" w:lineRule="auto"/>
              <w:rPr>
                <w:rFonts w:hAnsi="宋体"/>
                <w:color w:val="auto"/>
                <w:sz w:val="21"/>
                <w:szCs w:val="21"/>
                <w:highlight w:val="none"/>
              </w:rPr>
            </w:pPr>
          </w:p>
        </w:tc>
        <w:tc>
          <w:tcPr>
            <w:tcW w:w="4565" w:type="dxa"/>
          </w:tcPr>
          <w:p>
            <w:pPr>
              <w:pStyle w:val="245"/>
              <w:framePr w:hSpace="0" w:wrap="auto" w:vAnchor="margin" w:hAnchor="text" w:yAlign="inline"/>
              <w:spacing w:line="360" w:lineRule="auto"/>
              <w:rPr>
                <w:rFonts w:hAnsi="宋体"/>
                <w:color w:val="auto"/>
                <w:sz w:val="21"/>
                <w:szCs w:val="21"/>
                <w:highlight w:val="none"/>
              </w:rPr>
            </w:pPr>
            <w:r>
              <w:rPr>
                <w:rFonts w:hint="eastAsia" w:hAnsi="宋体"/>
                <w:color w:val="auto"/>
                <w:sz w:val="21"/>
                <w:szCs w:val="21"/>
                <w:highlight w:val="none"/>
              </w:rPr>
              <w:t>承包人：（公章）</w:t>
            </w:r>
          </w:p>
          <w:p>
            <w:pPr>
              <w:pStyle w:val="245"/>
              <w:framePr w:hSpace="0" w:wrap="auto" w:vAnchor="margin" w:hAnchor="text" w:yAlign="inline"/>
              <w:spacing w:line="360" w:lineRule="auto"/>
              <w:rPr>
                <w:rFonts w:hAnsi="宋体"/>
                <w:color w:val="auto"/>
                <w:sz w:val="21"/>
                <w:szCs w:val="21"/>
                <w:highlight w:val="none"/>
              </w:rPr>
            </w:pPr>
          </w:p>
        </w:tc>
      </w:tr>
      <w:tr>
        <w:tblPrEx>
          <w:tblCellMar>
            <w:top w:w="0" w:type="dxa"/>
            <w:left w:w="108" w:type="dxa"/>
            <w:bottom w:w="0" w:type="dxa"/>
            <w:right w:w="108" w:type="dxa"/>
          </w:tblCellMar>
        </w:tblPrEx>
        <w:tc>
          <w:tcPr>
            <w:tcW w:w="4507" w:type="dxa"/>
          </w:tcPr>
          <w:p>
            <w:pPr>
              <w:pStyle w:val="245"/>
              <w:framePr w:hSpace="0" w:wrap="auto" w:vAnchor="margin" w:hAnchor="text" w:yAlign="inline"/>
              <w:spacing w:line="360" w:lineRule="auto"/>
              <w:rPr>
                <w:rFonts w:hAnsi="宋体"/>
                <w:color w:val="auto"/>
                <w:sz w:val="21"/>
                <w:szCs w:val="21"/>
                <w:highlight w:val="none"/>
              </w:rPr>
            </w:pPr>
            <w:r>
              <w:rPr>
                <w:rFonts w:hint="eastAsia" w:hAnsi="宋体"/>
                <w:color w:val="auto"/>
                <w:sz w:val="21"/>
                <w:szCs w:val="21"/>
                <w:highlight w:val="none"/>
              </w:rPr>
              <w:t>法定代表人或其委托代理人：</w:t>
            </w:r>
          </w:p>
          <w:p>
            <w:pPr>
              <w:pStyle w:val="245"/>
              <w:framePr w:hSpace="0" w:wrap="auto" w:vAnchor="margin" w:hAnchor="text" w:yAlign="inline"/>
              <w:spacing w:line="360" w:lineRule="auto"/>
              <w:rPr>
                <w:rFonts w:hAnsi="宋体"/>
                <w:color w:val="auto"/>
                <w:sz w:val="21"/>
                <w:szCs w:val="21"/>
                <w:highlight w:val="none"/>
              </w:rPr>
            </w:pPr>
            <w:r>
              <w:rPr>
                <w:rFonts w:hint="eastAsia" w:hAnsi="宋体"/>
                <w:color w:val="auto"/>
                <w:sz w:val="21"/>
                <w:szCs w:val="21"/>
                <w:highlight w:val="none"/>
              </w:rPr>
              <w:t>（签字）</w:t>
            </w:r>
          </w:p>
          <w:p>
            <w:pPr>
              <w:pStyle w:val="245"/>
              <w:framePr w:hSpace="0" w:wrap="auto" w:vAnchor="margin" w:hAnchor="text" w:yAlign="inline"/>
              <w:spacing w:line="360" w:lineRule="auto"/>
              <w:rPr>
                <w:rFonts w:hAnsi="宋体"/>
                <w:color w:val="auto"/>
                <w:sz w:val="21"/>
                <w:szCs w:val="21"/>
                <w:highlight w:val="none"/>
              </w:rPr>
            </w:pPr>
          </w:p>
        </w:tc>
        <w:tc>
          <w:tcPr>
            <w:tcW w:w="4565" w:type="dxa"/>
          </w:tcPr>
          <w:p>
            <w:pPr>
              <w:pStyle w:val="245"/>
              <w:framePr w:hSpace="0" w:wrap="auto" w:vAnchor="margin" w:hAnchor="text" w:yAlign="inline"/>
              <w:spacing w:line="360" w:lineRule="auto"/>
              <w:rPr>
                <w:rFonts w:hAnsi="宋体"/>
                <w:color w:val="auto"/>
                <w:sz w:val="21"/>
                <w:szCs w:val="21"/>
                <w:highlight w:val="none"/>
              </w:rPr>
            </w:pPr>
            <w:r>
              <w:rPr>
                <w:rFonts w:hint="eastAsia" w:hAnsi="宋体"/>
                <w:color w:val="auto"/>
                <w:sz w:val="21"/>
                <w:szCs w:val="21"/>
                <w:highlight w:val="none"/>
              </w:rPr>
              <w:t>法定代表人或其委托代理人：</w:t>
            </w:r>
          </w:p>
          <w:p>
            <w:pPr>
              <w:pStyle w:val="245"/>
              <w:framePr w:hSpace="0" w:wrap="auto" w:vAnchor="margin" w:hAnchor="text" w:yAlign="inline"/>
              <w:spacing w:line="360" w:lineRule="auto"/>
              <w:rPr>
                <w:rFonts w:hAnsi="宋体"/>
                <w:color w:val="auto"/>
                <w:sz w:val="21"/>
                <w:szCs w:val="21"/>
                <w:highlight w:val="none"/>
              </w:rPr>
            </w:pPr>
            <w:r>
              <w:rPr>
                <w:rFonts w:hint="eastAsia" w:hAnsi="宋体"/>
                <w:color w:val="auto"/>
                <w:sz w:val="21"/>
                <w:szCs w:val="21"/>
                <w:highlight w:val="none"/>
              </w:rPr>
              <w:t>（签字）</w:t>
            </w:r>
          </w:p>
          <w:p>
            <w:pPr>
              <w:pStyle w:val="245"/>
              <w:framePr w:hSpace="0" w:wrap="auto" w:vAnchor="margin" w:hAnchor="text" w:yAlign="inline"/>
              <w:spacing w:line="360" w:lineRule="auto"/>
              <w:rPr>
                <w:rFonts w:hAnsi="宋体"/>
                <w:color w:val="auto"/>
                <w:sz w:val="21"/>
                <w:szCs w:val="21"/>
                <w:highlight w:val="none"/>
              </w:rPr>
            </w:pPr>
          </w:p>
        </w:tc>
      </w:tr>
      <w:tr>
        <w:tblPrEx>
          <w:tblCellMar>
            <w:top w:w="0" w:type="dxa"/>
            <w:left w:w="108" w:type="dxa"/>
            <w:bottom w:w="0" w:type="dxa"/>
            <w:right w:w="108" w:type="dxa"/>
          </w:tblCellMar>
        </w:tblPrEx>
        <w:tc>
          <w:tcPr>
            <w:tcW w:w="4507" w:type="dxa"/>
          </w:tcPr>
          <w:p>
            <w:pPr>
              <w:pStyle w:val="245"/>
              <w:framePr w:hSpace="0" w:wrap="auto" w:vAnchor="margin" w:hAnchor="text" w:yAlign="inline"/>
              <w:spacing w:line="360" w:lineRule="auto"/>
              <w:rPr>
                <w:rFonts w:hAnsi="宋体"/>
                <w:color w:val="auto"/>
                <w:sz w:val="21"/>
                <w:szCs w:val="21"/>
                <w:highlight w:val="none"/>
              </w:rPr>
            </w:pPr>
            <w:r>
              <w:rPr>
                <w:rFonts w:hint="eastAsia" w:hAnsi="宋体"/>
                <w:color w:val="auto"/>
                <w:sz w:val="21"/>
                <w:szCs w:val="21"/>
                <w:highlight w:val="none"/>
              </w:rPr>
              <w:t>统一社会信用代码：</w:t>
            </w:r>
            <w:r>
              <w:rPr>
                <w:rFonts w:hAnsi="宋体"/>
                <w:color w:val="auto"/>
                <w:kern w:val="0"/>
                <w:sz w:val="21"/>
                <w:szCs w:val="21"/>
                <w:highlight w:val="none"/>
                <w:u w:val="single"/>
              </w:rPr>
              <w:t xml:space="preserve">              </w:t>
            </w:r>
          </w:p>
          <w:p>
            <w:pPr>
              <w:pStyle w:val="245"/>
              <w:framePr w:hSpace="0" w:wrap="auto" w:vAnchor="margin" w:hAnchor="text" w:yAlign="inline"/>
              <w:spacing w:line="360" w:lineRule="auto"/>
              <w:rPr>
                <w:rFonts w:hAnsi="宋体"/>
                <w:color w:val="auto"/>
                <w:sz w:val="21"/>
                <w:szCs w:val="21"/>
                <w:highlight w:val="none"/>
              </w:rPr>
            </w:pPr>
            <w:r>
              <w:rPr>
                <w:rFonts w:hint="eastAsia" w:hAnsi="宋体"/>
                <w:color w:val="auto"/>
                <w:sz w:val="21"/>
                <w:szCs w:val="21"/>
                <w:highlight w:val="none"/>
              </w:rPr>
              <w:t>地址：</w:t>
            </w:r>
            <w:r>
              <w:rPr>
                <w:rFonts w:hAnsi="宋体"/>
                <w:color w:val="auto"/>
                <w:kern w:val="0"/>
                <w:sz w:val="21"/>
                <w:szCs w:val="21"/>
                <w:highlight w:val="none"/>
                <w:u w:val="single"/>
              </w:rPr>
              <w:t xml:space="preserve">                          </w:t>
            </w:r>
          </w:p>
          <w:p>
            <w:pPr>
              <w:pStyle w:val="245"/>
              <w:framePr w:hSpace="0" w:wrap="auto" w:vAnchor="margin" w:hAnchor="text" w:yAlign="inline"/>
              <w:spacing w:line="360" w:lineRule="auto"/>
              <w:rPr>
                <w:rFonts w:hAnsi="宋体"/>
                <w:color w:val="auto"/>
                <w:sz w:val="21"/>
                <w:szCs w:val="21"/>
                <w:highlight w:val="none"/>
              </w:rPr>
            </w:pPr>
            <w:r>
              <w:rPr>
                <w:rFonts w:hint="eastAsia" w:hAnsi="宋体"/>
                <w:color w:val="auto"/>
                <w:sz w:val="21"/>
                <w:szCs w:val="21"/>
                <w:highlight w:val="none"/>
              </w:rPr>
              <w:t>邮政编码：</w:t>
            </w:r>
            <w:r>
              <w:rPr>
                <w:rFonts w:hAnsi="宋体"/>
                <w:color w:val="auto"/>
                <w:kern w:val="0"/>
                <w:sz w:val="21"/>
                <w:szCs w:val="21"/>
                <w:highlight w:val="none"/>
                <w:u w:val="single"/>
              </w:rPr>
              <w:t xml:space="preserve">                      </w:t>
            </w:r>
          </w:p>
          <w:p>
            <w:pPr>
              <w:pStyle w:val="245"/>
              <w:framePr w:hSpace="0" w:wrap="auto" w:vAnchor="margin" w:hAnchor="text" w:yAlign="inline"/>
              <w:spacing w:line="360" w:lineRule="auto"/>
              <w:rPr>
                <w:rFonts w:hAnsi="宋体"/>
                <w:color w:val="auto"/>
                <w:sz w:val="21"/>
                <w:szCs w:val="21"/>
                <w:highlight w:val="none"/>
              </w:rPr>
            </w:pPr>
            <w:r>
              <w:rPr>
                <w:rFonts w:hint="eastAsia" w:hAnsi="宋体"/>
                <w:color w:val="auto"/>
                <w:sz w:val="21"/>
                <w:szCs w:val="21"/>
                <w:highlight w:val="none"/>
              </w:rPr>
              <w:t>法定代表人：</w:t>
            </w:r>
            <w:r>
              <w:rPr>
                <w:rFonts w:hAnsi="宋体"/>
                <w:color w:val="auto"/>
                <w:kern w:val="0"/>
                <w:sz w:val="21"/>
                <w:szCs w:val="21"/>
                <w:highlight w:val="none"/>
                <w:u w:val="single"/>
              </w:rPr>
              <w:t xml:space="preserve">                   </w:t>
            </w:r>
          </w:p>
          <w:p>
            <w:pPr>
              <w:pStyle w:val="245"/>
              <w:framePr w:hSpace="0" w:wrap="auto" w:vAnchor="margin" w:hAnchor="text" w:yAlign="inline"/>
              <w:spacing w:line="360" w:lineRule="auto"/>
              <w:rPr>
                <w:rFonts w:hAnsi="宋体"/>
                <w:color w:val="auto"/>
                <w:sz w:val="21"/>
                <w:szCs w:val="21"/>
                <w:highlight w:val="none"/>
              </w:rPr>
            </w:pPr>
            <w:r>
              <w:rPr>
                <w:rFonts w:hint="eastAsia" w:hAnsi="宋体"/>
                <w:color w:val="auto"/>
                <w:sz w:val="21"/>
                <w:szCs w:val="21"/>
                <w:highlight w:val="none"/>
              </w:rPr>
              <w:t>委托代理人：</w:t>
            </w:r>
            <w:r>
              <w:rPr>
                <w:rFonts w:hAnsi="宋体"/>
                <w:color w:val="auto"/>
                <w:kern w:val="0"/>
                <w:sz w:val="21"/>
                <w:szCs w:val="21"/>
                <w:highlight w:val="none"/>
                <w:u w:val="single"/>
              </w:rPr>
              <w:t xml:space="preserve">                   </w:t>
            </w:r>
          </w:p>
          <w:p>
            <w:pPr>
              <w:pStyle w:val="245"/>
              <w:framePr w:hSpace="0" w:wrap="auto" w:vAnchor="margin" w:hAnchor="text" w:yAlign="inline"/>
              <w:spacing w:line="360" w:lineRule="auto"/>
              <w:rPr>
                <w:rFonts w:hAnsi="宋体"/>
                <w:color w:val="auto"/>
                <w:sz w:val="21"/>
                <w:szCs w:val="21"/>
                <w:highlight w:val="none"/>
              </w:rPr>
            </w:pPr>
            <w:r>
              <w:rPr>
                <w:rFonts w:hint="eastAsia" w:hAnsi="宋体"/>
                <w:color w:val="auto"/>
                <w:sz w:val="21"/>
                <w:szCs w:val="21"/>
                <w:highlight w:val="none"/>
              </w:rPr>
              <w:t>电话：</w:t>
            </w:r>
            <w:r>
              <w:rPr>
                <w:rFonts w:hAnsi="宋体"/>
                <w:color w:val="auto"/>
                <w:kern w:val="0"/>
                <w:sz w:val="21"/>
                <w:szCs w:val="21"/>
                <w:highlight w:val="none"/>
                <w:u w:val="single"/>
              </w:rPr>
              <w:t xml:space="preserve">                         </w:t>
            </w:r>
          </w:p>
          <w:p>
            <w:pPr>
              <w:pStyle w:val="245"/>
              <w:framePr w:hSpace="0" w:wrap="auto" w:vAnchor="margin" w:hAnchor="text" w:yAlign="inline"/>
              <w:spacing w:line="360" w:lineRule="auto"/>
              <w:rPr>
                <w:rFonts w:hAnsi="宋体"/>
                <w:color w:val="auto"/>
                <w:sz w:val="21"/>
                <w:szCs w:val="21"/>
                <w:highlight w:val="none"/>
              </w:rPr>
            </w:pPr>
            <w:r>
              <w:rPr>
                <w:rFonts w:hint="eastAsia" w:hAnsi="宋体"/>
                <w:color w:val="auto"/>
                <w:sz w:val="21"/>
                <w:szCs w:val="21"/>
                <w:highlight w:val="none"/>
              </w:rPr>
              <w:t xml:space="preserve">传真： </w:t>
            </w:r>
            <w:r>
              <w:rPr>
                <w:rFonts w:hAnsi="宋体"/>
                <w:color w:val="auto"/>
                <w:kern w:val="0"/>
                <w:sz w:val="21"/>
                <w:szCs w:val="21"/>
                <w:highlight w:val="none"/>
                <w:u w:val="single"/>
              </w:rPr>
              <w:t xml:space="preserve">                      </w:t>
            </w:r>
          </w:p>
          <w:p>
            <w:pPr>
              <w:pStyle w:val="245"/>
              <w:framePr w:hSpace="0" w:wrap="auto" w:vAnchor="margin" w:hAnchor="text" w:yAlign="inline"/>
              <w:spacing w:line="360" w:lineRule="auto"/>
              <w:rPr>
                <w:rFonts w:hAnsi="宋体"/>
                <w:color w:val="auto"/>
                <w:sz w:val="21"/>
                <w:szCs w:val="21"/>
                <w:highlight w:val="none"/>
              </w:rPr>
            </w:pPr>
            <w:r>
              <w:rPr>
                <w:rFonts w:hint="eastAsia" w:hAnsi="宋体"/>
                <w:color w:val="auto"/>
                <w:sz w:val="21"/>
                <w:szCs w:val="21"/>
                <w:highlight w:val="none"/>
              </w:rPr>
              <w:t>电子信箱：</w:t>
            </w:r>
            <w:r>
              <w:rPr>
                <w:rFonts w:hAnsi="宋体"/>
                <w:color w:val="auto"/>
                <w:kern w:val="0"/>
                <w:sz w:val="21"/>
                <w:szCs w:val="21"/>
                <w:highlight w:val="none"/>
                <w:u w:val="single"/>
              </w:rPr>
              <w:t xml:space="preserve">                    </w:t>
            </w:r>
          </w:p>
          <w:p>
            <w:pPr>
              <w:pStyle w:val="245"/>
              <w:framePr w:hSpace="0" w:wrap="auto" w:vAnchor="margin" w:hAnchor="text" w:yAlign="inline"/>
              <w:spacing w:line="360" w:lineRule="auto"/>
              <w:rPr>
                <w:rFonts w:hAnsi="宋体"/>
                <w:color w:val="auto"/>
                <w:sz w:val="21"/>
                <w:szCs w:val="21"/>
                <w:highlight w:val="none"/>
              </w:rPr>
            </w:pPr>
            <w:r>
              <w:rPr>
                <w:rFonts w:hint="eastAsia" w:hAnsi="宋体"/>
                <w:color w:val="auto"/>
                <w:sz w:val="21"/>
                <w:szCs w:val="21"/>
                <w:highlight w:val="none"/>
              </w:rPr>
              <w:t>开户银行：</w:t>
            </w:r>
            <w:r>
              <w:rPr>
                <w:rFonts w:hAnsi="宋体"/>
                <w:color w:val="auto"/>
                <w:kern w:val="0"/>
                <w:sz w:val="21"/>
                <w:szCs w:val="21"/>
                <w:highlight w:val="none"/>
                <w:u w:val="single"/>
              </w:rPr>
              <w:t xml:space="preserve">                   </w:t>
            </w:r>
          </w:p>
          <w:p>
            <w:pPr>
              <w:pStyle w:val="245"/>
              <w:framePr w:hSpace="0" w:wrap="auto" w:vAnchor="margin" w:hAnchor="text" w:yAlign="inline"/>
              <w:spacing w:line="360" w:lineRule="auto"/>
              <w:rPr>
                <w:rFonts w:hAnsi="宋体"/>
                <w:color w:val="auto"/>
                <w:sz w:val="21"/>
                <w:szCs w:val="21"/>
                <w:highlight w:val="none"/>
              </w:rPr>
            </w:pPr>
            <w:r>
              <w:rPr>
                <w:rFonts w:hint="eastAsia" w:hAnsi="宋体"/>
                <w:color w:val="auto"/>
                <w:sz w:val="21"/>
                <w:szCs w:val="21"/>
                <w:highlight w:val="none"/>
              </w:rPr>
              <w:t>账号：</w:t>
            </w:r>
            <w:r>
              <w:rPr>
                <w:rFonts w:hAnsi="宋体"/>
                <w:color w:val="auto"/>
                <w:kern w:val="0"/>
                <w:sz w:val="21"/>
                <w:szCs w:val="21"/>
                <w:highlight w:val="none"/>
                <w:u w:val="single"/>
              </w:rPr>
              <w:t xml:space="preserve">                       </w:t>
            </w:r>
          </w:p>
        </w:tc>
        <w:tc>
          <w:tcPr>
            <w:tcW w:w="4565" w:type="dxa"/>
          </w:tcPr>
          <w:p>
            <w:pPr>
              <w:pStyle w:val="245"/>
              <w:framePr w:hSpace="0" w:wrap="auto" w:vAnchor="margin" w:hAnchor="text" w:yAlign="inline"/>
              <w:spacing w:line="360" w:lineRule="auto"/>
              <w:rPr>
                <w:rFonts w:hAnsi="宋体"/>
                <w:color w:val="auto"/>
                <w:sz w:val="21"/>
                <w:szCs w:val="21"/>
                <w:highlight w:val="none"/>
              </w:rPr>
            </w:pPr>
            <w:r>
              <w:rPr>
                <w:rFonts w:hint="eastAsia" w:hAnsi="宋体"/>
                <w:color w:val="auto"/>
                <w:sz w:val="21"/>
                <w:szCs w:val="21"/>
                <w:highlight w:val="none"/>
              </w:rPr>
              <w:t>统一社会信用代码：</w:t>
            </w:r>
            <w:r>
              <w:rPr>
                <w:rFonts w:hAnsi="宋体"/>
                <w:color w:val="auto"/>
                <w:kern w:val="0"/>
                <w:sz w:val="21"/>
                <w:szCs w:val="21"/>
                <w:highlight w:val="none"/>
                <w:u w:val="single"/>
              </w:rPr>
              <w:t xml:space="preserve">             </w:t>
            </w:r>
          </w:p>
          <w:p>
            <w:pPr>
              <w:pStyle w:val="245"/>
              <w:framePr w:hSpace="0" w:wrap="auto" w:vAnchor="margin" w:hAnchor="text" w:yAlign="inline"/>
              <w:spacing w:line="360" w:lineRule="auto"/>
              <w:rPr>
                <w:rFonts w:hAnsi="宋体"/>
                <w:color w:val="auto"/>
                <w:sz w:val="21"/>
                <w:szCs w:val="21"/>
                <w:highlight w:val="none"/>
              </w:rPr>
            </w:pPr>
            <w:r>
              <w:rPr>
                <w:rFonts w:hint="eastAsia" w:hAnsi="宋体"/>
                <w:color w:val="auto"/>
                <w:sz w:val="21"/>
                <w:szCs w:val="21"/>
                <w:highlight w:val="none"/>
              </w:rPr>
              <w:t>地址：</w:t>
            </w:r>
            <w:r>
              <w:rPr>
                <w:rFonts w:hAnsi="宋体"/>
                <w:color w:val="auto"/>
                <w:kern w:val="0"/>
                <w:sz w:val="21"/>
                <w:szCs w:val="21"/>
                <w:highlight w:val="none"/>
                <w:u w:val="single"/>
              </w:rPr>
              <w:t xml:space="preserve">                         </w:t>
            </w:r>
          </w:p>
          <w:p>
            <w:pPr>
              <w:pStyle w:val="245"/>
              <w:framePr w:hSpace="0" w:wrap="auto" w:vAnchor="margin" w:hAnchor="text" w:yAlign="inline"/>
              <w:spacing w:line="360" w:lineRule="auto"/>
              <w:rPr>
                <w:rFonts w:hAnsi="宋体"/>
                <w:color w:val="auto"/>
                <w:sz w:val="21"/>
                <w:szCs w:val="21"/>
                <w:highlight w:val="none"/>
              </w:rPr>
            </w:pPr>
            <w:r>
              <w:rPr>
                <w:rFonts w:hint="eastAsia" w:hAnsi="宋体"/>
                <w:color w:val="auto"/>
                <w:sz w:val="21"/>
                <w:szCs w:val="21"/>
                <w:highlight w:val="none"/>
              </w:rPr>
              <w:t>邮政编码：</w:t>
            </w:r>
            <w:r>
              <w:rPr>
                <w:rFonts w:hAnsi="宋体"/>
                <w:color w:val="auto"/>
                <w:kern w:val="0"/>
                <w:sz w:val="21"/>
                <w:szCs w:val="21"/>
                <w:highlight w:val="none"/>
                <w:u w:val="single"/>
              </w:rPr>
              <w:t xml:space="preserve">                      </w:t>
            </w:r>
          </w:p>
          <w:p>
            <w:pPr>
              <w:pStyle w:val="245"/>
              <w:framePr w:hSpace="0" w:wrap="auto" w:vAnchor="margin" w:hAnchor="text" w:yAlign="inline"/>
              <w:spacing w:line="360" w:lineRule="auto"/>
              <w:rPr>
                <w:rFonts w:hAnsi="宋体"/>
                <w:color w:val="auto"/>
                <w:sz w:val="21"/>
                <w:szCs w:val="21"/>
                <w:highlight w:val="none"/>
              </w:rPr>
            </w:pPr>
            <w:r>
              <w:rPr>
                <w:rFonts w:hint="eastAsia" w:hAnsi="宋体"/>
                <w:color w:val="auto"/>
                <w:sz w:val="21"/>
                <w:szCs w:val="21"/>
                <w:highlight w:val="none"/>
              </w:rPr>
              <w:t>法定代表人：</w:t>
            </w:r>
            <w:r>
              <w:rPr>
                <w:rFonts w:hAnsi="宋体"/>
                <w:color w:val="auto"/>
                <w:kern w:val="0"/>
                <w:sz w:val="21"/>
                <w:szCs w:val="21"/>
                <w:highlight w:val="none"/>
                <w:u w:val="single"/>
              </w:rPr>
              <w:t xml:space="preserve">                   </w:t>
            </w:r>
          </w:p>
          <w:p>
            <w:pPr>
              <w:pStyle w:val="245"/>
              <w:framePr w:hSpace="0" w:wrap="auto" w:vAnchor="margin" w:hAnchor="text" w:yAlign="inline"/>
              <w:spacing w:line="360" w:lineRule="auto"/>
              <w:rPr>
                <w:rFonts w:hAnsi="宋体"/>
                <w:color w:val="auto"/>
                <w:sz w:val="21"/>
                <w:szCs w:val="21"/>
                <w:highlight w:val="none"/>
              </w:rPr>
            </w:pPr>
            <w:r>
              <w:rPr>
                <w:rFonts w:hint="eastAsia" w:hAnsi="宋体"/>
                <w:color w:val="auto"/>
                <w:sz w:val="21"/>
                <w:szCs w:val="21"/>
                <w:highlight w:val="none"/>
              </w:rPr>
              <w:t>委托代理人：</w:t>
            </w:r>
            <w:r>
              <w:rPr>
                <w:rFonts w:hAnsi="宋体"/>
                <w:color w:val="auto"/>
                <w:kern w:val="0"/>
                <w:sz w:val="21"/>
                <w:szCs w:val="21"/>
                <w:highlight w:val="none"/>
                <w:u w:val="single"/>
              </w:rPr>
              <w:t xml:space="preserve">                   </w:t>
            </w:r>
          </w:p>
          <w:p>
            <w:pPr>
              <w:pStyle w:val="245"/>
              <w:framePr w:hSpace="0" w:wrap="auto" w:vAnchor="margin" w:hAnchor="text" w:yAlign="inline"/>
              <w:spacing w:line="360" w:lineRule="auto"/>
              <w:rPr>
                <w:rFonts w:hAnsi="宋体"/>
                <w:color w:val="auto"/>
                <w:sz w:val="21"/>
                <w:szCs w:val="21"/>
                <w:highlight w:val="none"/>
              </w:rPr>
            </w:pPr>
            <w:r>
              <w:rPr>
                <w:rFonts w:hint="eastAsia" w:hAnsi="宋体"/>
                <w:color w:val="auto"/>
                <w:sz w:val="21"/>
                <w:szCs w:val="21"/>
                <w:highlight w:val="none"/>
              </w:rPr>
              <w:t>电话：</w:t>
            </w:r>
            <w:r>
              <w:rPr>
                <w:rFonts w:hAnsi="宋体"/>
                <w:color w:val="auto"/>
                <w:kern w:val="0"/>
                <w:sz w:val="21"/>
                <w:szCs w:val="21"/>
                <w:highlight w:val="none"/>
                <w:u w:val="single"/>
              </w:rPr>
              <w:t xml:space="preserve">                          </w:t>
            </w:r>
          </w:p>
          <w:p>
            <w:pPr>
              <w:pStyle w:val="245"/>
              <w:framePr w:hSpace="0" w:wrap="auto" w:vAnchor="margin" w:hAnchor="text" w:yAlign="inline"/>
              <w:spacing w:line="360" w:lineRule="auto"/>
              <w:rPr>
                <w:rFonts w:hAnsi="宋体"/>
                <w:color w:val="auto"/>
                <w:sz w:val="21"/>
                <w:szCs w:val="21"/>
                <w:highlight w:val="none"/>
              </w:rPr>
            </w:pPr>
            <w:r>
              <w:rPr>
                <w:rFonts w:hint="eastAsia" w:hAnsi="宋体"/>
                <w:color w:val="auto"/>
                <w:sz w:val="21"/>
                <w:szCs w:val="21"/>
                <w:highlight w:val="none"/>
              </w:rPr>
              <w:t>传真：</w:t>
            </w:r>
            <w:r>
              <w:rPr>
                <w:rFonts w:hAnsi="宋体"/>
                <w:color w:val="auto"/>
                <w:kern w:val="0"/>
                <w:sz w:val="21"/>
                <w:szCs w:val="21"/>
                <w:highlight w:val="none"/>
                <w:u w:val="single"/>
              </w:rPr>
              <w:t xml:space="preserve">                       </w:t>
            </w:r>
          </w:p>
          <w:p>
            <w:pPr>
              <w:pStyle w:val="245"/>
              <w:framePr w:hSpace="0" w:wrap="auto" w:vAnchor="margin" w:hAnchor="text" w:yAlign="inline"/>
              <w:spacing w:line="360" w:lineRule="auto"/>
              <w:rPr>
                <w:rFonts w:hAnsi="宋体"/>
                <w:color w:val="auto"/>
                <w:sz w:val="21"/>
                <w:szCs w:val="21"/>
                <w:highlight w:val="none"/>
              </w:rPr>
            </w:pPr>
            <w:r>
              <w:rPr>
                <w:rFonts w:hint="eastAsia" w:hAnsi="宋体"/>
                <w:color w:val="auto"/>
                <w:sz w:val="21"/>
                <w:szCs w:val="21"/>
                <w:highlight w:val="none"/>
              </w:rPr>
              <w:t>电子信箱：</w:t>
            </w:r>
            <w:r>
              <w:rPr>
                <w:rFonts w:hAnsi="宋体"/>
                <w:color w:val="auto"/>
                <w:kern w:val="0"/>
                <w:sz w:val="21"/>
                <w:szCs w:val="21"/>
                <w:highlight w:val="none"/>
                <w:u w:val="single"/>
              </w:rPr>
              <w:t xml:space="preserve">                   </w:t>
            </w:r>
          </w:p>
          <w:p>
            <w:pPr>
              <w:pStyle w:val="245"/>
              <w:framePr w:hSpace="0" w:wrap="auto" w:vAnchor="margin" w:hAnchor="text" w:yAlign="inline"/>
              <w:spacing w:line="360" w:lineRule="auto"/>
              <w:rPr>
                <w:rFonts w:hAnsi="宋体"/>
                <w:color w:val="auto"/>
                <w:sz w:val="21"/>
                <w:szCs w:val="21"/>
                <w:highlight w:val="none"/>
              </w:rPr>
            </w:pPr>
            <w:r>
              <w:rPr>
                <w:rFonts w:hint="eastAsia" w:hAnsi="宋体"/>
                <w:color w:val="auto"/>
                <w:sz w:val="21"/>
                <w:szCs w:val="21"/>
                <w:highlight w:val="none"/>
              </w:rPr>
              <w:t>开户银行：</w:t>
            </w:r>
            <w:r>
              <w:rPr>
                <w:rFonts w:hAnsi="宋体"/>
                <w:color w:val="auto"/>
                <w:kern w:val="0"/>
                <w:sz w:val="21"/>
                <w:szCs w:val="21"/>
                <w:highlight w:val="none"/>
                <w:u w:val="single"/>
              </w:rPr>
              <w:t xml:space="preserve">                   </w:t>
            </w:r>
          </w:p>
          <w:p>
            <w:pPr>
              <w:pStyle w:val="245"/>
              <w:framePr w:hSpace="0" w:wrap="auto" w:vAnchor="margin" w:hAnchor="text" w:yAlign="inline"/>
              <w:spacing w:line="360" w:lineRule="auto"/>
              <w:rPr>
                <w:rFonts w:hAnsi="宋体"/>
                <w:color w:val="auto"/>
                <w:sz w:val="21"/>
                <w:szCs w:val="21"/>
                <w:highlight w:val="none"/>
              </w:rPr>
            </w:pPr>
            <w:r>
              <w:rPr>
                <w:rFonts w:hint="eastAsia" w:hAnsi="宋体"/>
                <w:color w:val="auto"/>
                <w:sz w:val="21"/>
                <w:szCs w:val="21"/>
                <w:highlight w:val="none"/>
              </w:rPr>
              <w:t>账号：</w:t>
            </w:r>
            <w:r>
              <w:rPr>
                <w:rFonts w:hAnsi="宋体"/>
                <w:color w:val="auto"/>
                <w:sz w:val="21"/>
                <w:szCs w:val="21"/>
                <w:highlight w:val="none"/>
                <w:u w:val="single"/>
              </w:rPr>
              <w:t xml:space="preserve">                       </w:t>
            </w:r>
          </w:p>
        </w:tc>
      </w:tr>
    </w:tbl>
    <w:p>
      <w:pPr>
        <w:pStyle w:val="3"/>
        <w:spacing w:line="360" w:lineRule="auto"/>
        <w:rPr>
          <w:rFonts w:ascii="华文中宋" w:hAnsi="华文中宋" w:eastAsia="华文中宋"/>
          <w:color w:val="auto"/>
          <w:sz w:val="30"/>
          <w:szCs w:val="30"/>
          <w:highlight w:val="none"/>
        </w:rPr>
      </w:pPr>
      <w:r>
        <w:rPr>
          <w:color w:val="auto"/>
          <w:highlight w:val="none"/>
        </w:rPr>
        <w:br w:type="page"/>
      </w:r>
      <w:bookmarkStart w:id="30" w:name="_Toc61771197"/>
      <w:bookmarkStart w:id="31" w:name="_Toc54862176"/>
      <w:r>
        <w:rPr>
          <w:rFonts w:hint="eastAsia" w:ascii="华文中宋" w:hAnsi="华文中宋" w:eastAsia="华文中宋"/>
          <w:color w:val="auto"/>
          <w:sz w:val="30"/>
          <w:szCs w:val="30"/>
          <w:highlight w:val="none"/>
        </w:rPr>
        <w:t>第二部分</w:t>
      </w:r>
      <w:r>
        <w:rPr>
          <w:rFonts w:ascii="华文中宋" w:hAnsi="华文中宋" w:eastAsia="华文中宋"/>
          <w:color w:val="auto"/>
          <w:sz w:val="30"/>
          <w:szCs w:val="30"/>
          <w:highlight w:val="none"/>
        </w:rPr>
        <w:t xml:space="preserve"> </w:t>
      </w:r>
      <w:r>
        <w:rPr>
          <w:rFonts w:hint="eastAsia" w:ascii="华文中宋" w:hAnsi="华文中宋" w:eastAsia="华文中宋"/>
          <w:color w:val="auto"/>
          <w:sz w:val="30"/>
          <w:szCs w:val="30"/>
          <w:highlight w:val="none"/>
        </w:rPr>
        <w:t>通用合同条件</w:t>
      </w:r>
      <w:bookmarkEnd w:id="30"/>
      <w:bookmarkEnd w:id="31"/>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（参照中华人民共和国</w:t>
      </w:r>
      <w:r>
        <w:rPr>
          <w:rFonts w:ascii="宋体" w:hAnsi="宋体" w:cs="宋体"/>
          <w:color w:val="auto"/>
          <w:szCs w:val="21"/>
          <w:highlight w:val="none"/>
        </w:rPr>
        <w:t>住房</w:t>
      </w:r>
      <w:r>
        <w:rPr>
          <w:rFonts w:hint="eastAsia" w:ascii="宋体" w:hAnsi="宋体" w:cs="宋体"/>
          <w:color w:val="auto"/>
          <w:szCs w:val="21"/>
          <w:highlight w:val="none"/>
        </w:rPr>
        <w:t>和</w:t>
      </w:r>
      <w:r>
        <w:rPr>
          <w:rFonts w:ascii="宋体" w:hAnsi="宋体" w:cs="宋体"/>
          <w:color w:val="auto"/>
          <w:szCs w:val="21"/>
          <w:highlight w:val="none"/>
        </w:rPr>
        <w:t>城乡建设部</w:t>
      </w:r>
      <w:r>
        <w:rPr>
          <w:rFonts w:hint="eastAsia" w:ascii="宋体" w:hAnsi="宋体" w:cs="宋体"/>
          <w:color w:val="auto"/>
          <w:szCs w:val="21"/>
          <w:highlight w:val="none"/>
        </w:rPr>
        <w:t>、国家市场监督管理</w:t>
      </w:r>
      <w:r>
        <w:rPr>
          <w:rFonts w:ascii="宋体" w:hAnsi="宋体" w:cs="宋体"/>
          <w:color w:val="auto"/>
          <w:szCs w:val="21"/>
          <w:highlight w:val="none"/>
        </w:rPr>
        <w:t>总局</w:t>
      </w:r>
      <w:r>
        <w:rPr>
          <w:rFonts w:hint="eastAsia" w:ascii="宋体" w:hAnsi="宋体" w:cs="宋体"/>
          <w:color w:val="auto"/>
          <w:szCs w:val="21"/>
          <w:highlight w:val="none"/>
        </w:rPr>
        <w:t>联合制定的《建设项目工程总承包合同（示范文本）》（GF-2020-0216）的通用条款。）（略）</w:t>
      </w:r>
    </w:p>
    <w:p>
      <w:pPr>
        <w:pStyle w:val="3"/>
        <w:rPr>
          <w:rFonts w:ascii="华文中宋" w:hAnsi="华文中宋" w:eastAsia="华文中宋"/>
          <w:color w:val="auto"/>
          <w:sz w:val="30"/>
          <w:szCs w:val="30"/>
          <w:highlight w:val="none"/>
        </w:rPr>
      </w:pPr>
      <w:bookmarkStart w:id="32" w:name="_Toc61771198"/>
      <w:bookmarkStart w:id="33" w:name="_Toc54862331"/>
      <w:r>
        <w:rPr>
          <w:rFonts w:hint="eastAsia" w:ascii="华文中宋" w:hAnsi="华文中宋" w:eastAsia="华文中宋"/>
          <w:color w:val="auto"/>
          <w:sz w:val="30"/>
          <w:szCs w:val="30"/>
          <w:highlight w:val="none"/>
        </w:rPr>
        <w:t>第三部分</w:t>
      </w:r>
      <w:r>
        <w:rPr>
          <w:rFonts w:ascii="华文中宋" w:hAnsi="华文中宋" w:eastAsia="华文中宋"/>
          <w:color w:val="auto"/>
          <w:sz w:val="30"/>
          <w:szCs w:val="30"/>
          <w:highlight w:val="none"/>
        </w:rPr>
        <w:t xml:space="preserve"> </w:t>
      </w:r>
      <w:r>
        <w:rPr>
          <w:rFonts w:hint="eastAsia" w:ascii="华文中宋" w:hAnsi="华文中宋" w:eastAsia="华文中宋"/>
          <w:color w:val="auto"/>
          <w:sz w:val="30"/>
          <w:szCs w:val="30"/>
          <w:highlight w:val="none"/>
        </w:rPr>
        <w:t>专用合同条件</w:t>
      </w:r>
      <w:bookmarkEnd w:id="32"/>
      <w:bookmarkEnd w:id="33"/>
    </w:p>
    <w:p>
      <w:pPr>
        <w:pStyle w:val="246"/>
        <w:spacing w:after="120"/>
        <w:ind w:firstLine="420"/>
        <w:outlineLvl w:val="9"/>
        <w:rPr>
          <w:b w:val="0"/>
          <w:bCs/>
          <w:color w:val="auto"/>
          <w:sz w:val="21"/>
          <w:szCs w:val="21"/>
          <w:highlight w:val="none"/>
        </w:rPr>
      </w:pPr>
      <w:bookmarkStart w:id="34" w:name="_Toc54862332"/>
      <w:r>
        <w:rPr>
          <w:rFonts w:hint="eastAsia"/>
          <w:b w:val="0"/>
          <w:bCs/>
          <w:color w:val="auto"/>
          <w:sz w:val="21"/>
          <w:szCs w:val="21"/>
          <w:highlight w:val="none"/>
        </w:rPr>
        <w:t>第</w:t>
      </w:r>
      <w:r>
        <w:rPr>
          <w:b w:val="0"/>
          <w:bCs/>
          <w:color w:val="auto"/>
          <w:sz w:val="21"/>
          <w:szCs w:val="21"/>
          <w:highlight w:val="none"/>
        </w:rPr>
        <w:t>1条</w:t>
      </w:r>
      <w:r>
        <w:rPr>
          <w:rFonts w:hint="eastAsia"/>
          <w:b w:val="0"/>
          <w:bCs/>
          <w:color w:val="auto"/>
          <w:sz w:val="21"/>
          <w:szCs w:val="21"/>
          <w:highlight w:val="none"/>
        </w:rPr>
        <w:t xml:space="preserve"> 一般约定</w:t>
      </w:r>
      <w:bookmarkEnd w:id="34"/>
    </w:p>
    <w:p>
      <w:pPr>
        <w:spacing w:line="360" w:lineRule="auto"/>
        <w:ind w:firstLine="420"/>
        <w:rPr>
          <w:rFonts w:ascii="宋体" w:hAnsi="宋体"/>
          <w:color w:val="auto"/>
          <w:szCs w:val="21"/>
          <w:highlight w:val="none"/>
        </w:rPr>
      </w:pPr>
      <w:r>
        <w:rPr>
          <w:rFonts w:ascii="宋体" w:hAnsi="宋体"/>
          <w:color w:val="auto"/>
          <w:szCs w:val="21"/>
          <w:highlight w:val="none"/>
        </w:rPr>
        <w:t xml:space="preserve">1.1 </w:t>
      </w:r>
      <w:r>
        <w:rPr>
          <w:rFonts w:hint="eastAsia" w:ascii="宋体" w:hAnsi="宋体"/>
          <w:color w:val="auto"/>
          <w:szCs w:val="21"/>
          <w:highlight w:val="none"/>
        </w:rPr>
        <w:t>词语定义和解释</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1.1.1 </w:t>
      </w:r>
      <w:r>
        <w:rPr>
          <w:rFonts w:hint="eastAsia" w:ascii="宋体" w:hAnsi="宋体"/>
          <w:color w:val="auto"/>
          <w:szCs w:val="21"/>
          <w:highlight w:val="none"/>
        </w:rPr>
        <w:t>合同</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1.1.1.10 </w:t>
      </w:r>
      <w:r>
        <w:rPr>
          <w:rFonts w:hint="eastAsia" w:ascii="宋体" w:hAnsi="宋体"/>
          <w:color w:val="auto"/>
          <w:szCs w:val="21"/>
          <w:highlight w:val="none"/>
        </w:rPr>
        <w:t>其他合同文件：</w:t>
      </w:r>
      <w:r>
        <w:rPr>
          <w:rFonts w:hint="eastAsia" w:ascii="宋体" w:hAnsi="宋体"/>
          <w:color w:val="auto"/>
          <w:szCs w:val="21"/>
          <w:highlight w:val="none"/>
          <w:u w:val="single"/>
        </w:rPr>
        <w:t xml:space="preserve"> 本项目招标文件、招标补充文件及其他文件等、双方有关工程的洽商、变更等书面协议或文件视为本合同的组成部分</w:t>
      </w:r>
      <w:r>
        <w:rPr>
          <w:rFonts w:ascii="宋体" w:hAnsi="宋体"/>
          <w:color w:val="auto"/>
          <w:szCs w:val="21"/>
          <w:highlight w:val="none"/>
          <w:u w:val="singl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1.1.3 </w:t>
      </w:r>
      <w:r>
        <w:rPr>
          <w:rFonts w:hint="eastAsia" w:ascii="宋体" w:hAnsi="宋体"/>
          <w:color w:val="auto"/>
          <w:szCs w:val="21"/>
          <w:highlight w:val="none"/>
        </w:rPr>
        <w:t>工程和设备</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1.1.3.5 </w:t>
      </w:r>
      <w:r>
        <w:rPr>
          <w:rFonts w:hint="eastAsia" w:ascii="宋体" w:hAnsi="宋体"/>
          <w:color w:val="auto"/>
          <w:szCs w:val="21"/>
          <w:highlight w:val="none"/>
        </w:rPr>
        <w:t>单位/区段工程的范围：</w:t>
      </w:r>
      <w:r>
        <w:rPr>
          <w:rFonts w:hint="eastAsia" w:ascii="宋体" w:hAnsi="宋体"/>
          <w:color w:val="auto"/>
          <w:szCs w:val="21"/>
          <w:highlight w:val="none"/>
          <w:u w:val="single"/>
        </w:rPr>
        <w:t>招标范围</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1.1.3.9 </w:t>
      </w:r>
      <w:r>
        <w:rPr>
          <w:rFonts w:hint="eastAsia" w:ascii="宋体" w:hAnsi="宋体"/>
          <w:color w:val="auto"/>
          <w:szCs w:val="21"/>
          <w:highlight w:val="none"/>
        </w:rPr>
        <w:t>作为施工场所组成部分的其他场所包括：</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1.1.3.10 </w:t>
      </w:r>
      <w:r>
        <w:rPr>
          <w:rFonts w:hint="eastAsia" w:ascii="宋体" w:hAnsi="宋体"/>
          <w:color w:val="auto"/>
          <w:szCs w:val="21"/>
          <w:highlight w:val="none"/>
        </w:rPr>
        <w:t>永久占地包括：</w:t>
      </w:r>
      <w:r>
        <w:rPr>
          <w:rFonts w:hint="eastAsia" w:ascii="宋体" w:hAnsi="宋体"/>
          <w:color w:val="auto"/>
          <w:szCs w:val="21"/>
          <w:highlight w:val="none"/>
          <w:u w:val="single"/>
        </w:rPr>
        <w:t>规划红线范围内</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1.1.3.11 </w:t>
      </w:r>
      <w:r>
        <w:rPr>
          <w:rFonts w:hint="eastAsia" w:ascii="宋体" w:hAnsi="宋体"/>
          <w:color w:val="auto"/>
          <w:szCs w:val="21"/>
          <w:highlight w:val="none"/>
        </w:rPr>
        <w:t>临时占地包括：</w:t>
      </w:r>
      <w:r>
        <w:rPr>
          <w:rFonts w:hint="eastAsia" w:ascii="宋体" w:hAnsi="宋体"/>
          <w:color w:val="auto"/>
          <w:szCs w:val="21"/>
          <w:highlight w:val="none"/>
          <w:u w:val="single"/>
        </w:rPr>
        <w:t>规划红线范围内</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1.2 </w:t>
      </w:r>
      <w:r>
        <w:rPr>
          <w:rFonts w:hint="eastAsia" w:ascii="宋体" w:hAnsi="宋体"/>
          <w:color w:val="auto"/>
          <w:szCs w:val="21"/>
          <w:highlight w:val="none"/>
        </w:rPr>
        <w:t>语言文字</w:t>
      </w:r>
    </w:p>
    <w:p>
      <w:pPr>
        <w:spacing w:line="360" w:lineRule="auto"/>
        <w:ind w:firstLine="420"/>
        <w:rPr>
          <w:rFonts w:ascii="宋体" w:hAnsi="宋体"/>
          <w:color w:val="auto"/>
          <w:szCs w:val="21"/>
          <w:highlight w:val="none"/>
        </w:rPr>
      </w:pPr>
      <w:r>
        <w:rPr>
          <w:rFonts w:hint="eastAsia" w:ascii="宋体" w:hAnsi="宋体"/>
          <w:color w:val="auto"/>
          <w:szCs w:val="21"/>
          <w:highlight w:val="none"/>
        </w:rPr>
        <w:t>本合同除使用汉语外，还使用</w:t>
      </w:r>
      <w:r>
        <w:rPr>
          <w:rFonts w:ascii="宋体" w:hAnsi="宋体"/>
          <w:color w:val="auto"/>
          <w:szCs w:val="21"/>
          <w:highlight w:val="none"/>
          <w:u w:val="single"/>
        </w:rPr>
        <w:t xml:space="preserve">     /     </w:t>
      </w:r>
      <w:r>
        <w:rPr>
          <w:rFonts w:hint="eastAsia" w:ascii="宋体" w:hAnsi="宋体"/>
          <w:color w:val="auto"/>
          <w:szCs w:val="21"/>
          <w:highlight w:val="none"/>
        </w:rPr>
        <w:t>语言。</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1.3 </w:t>
      </w:r>
      <w:r>
        <w:rPr>
          <w:rFonts w:hint="eastAsia" w:ascii="宋体" w:hAnsi="宋体"/>
          <w:color w:val="auto"/>
          <w:szCs w:val="21"/>
          <w:highlight w:val="none"/>
        </w:rPr>
        <w:t>法律</w:t>
      </w:r>
    </w:p>
    <w:p>
      <w:pPr>
        <w:spacing w:line="360" w:lineRule="auto"/>
        <w:ind w:firstLine="420"/>
        <w:rPr>
          <w:rFonts w:ascii="宋体" w:hAnsi="宋体"/>
          <w:color w:val="auto"/>
          <w:szCs w:val="21"/>
          <w:highlight w:val="none"/>
        </w:rPr>
      </w:pPr>
      <w:r>
        <w:rPr>
          <w:rFonts w:hint="eastAsia" w:ascii="宋体" w:hAnsi="宋体"/>
          <w:color w:val="auto"/>
          <w:szCs w:val="21"/>
          <w:highlight w:val="none"/>
        </w:rPr>
        <w:t>适用于合同的其他规范性文件：</w:t>
      </w:r>
      <w:r>
        <w:rPr>
          <w:rFonts w:hint="eastAsia" w:ascii="宋体" w:hAnsi="宋体"/>
          <w:color w:val="auto"/>
          <w:szCs w:val="21"/>
          <w:highlight w:val="none"/>
          <w:u w:val="single"/>
        </w:rPr>
        <w:t>省、市建设管理部门发布的规范性文件</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1.4 </w:t>
      </w:r>
      <w:r>
        <w:rPr>
          <w:rFonts w:hint="eastAsia" w:ascii="宋体" w:hAnsi="宋体"/>
          <w:color w:val="auto"/>
          <w:szCs w:val="21"/>
          <w:highlight w:val="none"/>
        </w:rPr>
        <w:t>标准和规范</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1.4.1 </w:t>
      </w:r>
      <w:r>
        <w:rPr>
          <w:rFonts w:hint="eastAsia" w:ascii="宋体" w:hAnsi="宋体"/>
          <w:color w:val="auto"/>
          <w:szCs w:val="21"/>
          <w:highlight w:val="none"/>
        </w:rPr>
        <w:t>适用于本合同的标准、规范（名称）包括：</w:t>
      </w:r>
      <w:r>
        <w:rPr>
          <w:rFonts w:hint="eastAsia" w:ascii="宋体" w:hAnsi="宋体"/>
          <w:color w:val="auto"/>
          <w:szCs w:val="21"/>
          <w:highlight w:val="none"/>
          <w:u w:val="single"/>
        </w:rPr>
        <w:t>采用现行有效的适用于本工程的施工和验收标准、规范，包括《建设工程项目管理规范》（GB/T50326-2006），若不同标准和规范之间要求不一致的，以较高标准为优先</w:t>
      </w:r>
      <w:r>
        <w:rPr>
          <w:rFonts w:hint="eastAsia" w:ascii="宋体" w:hAnsi="宋体"/>
          <w:color w:val="auto"/>
          <w:szCs w:val="21"/>
          <w:highlight w:val="none"/>
        </w:rPr>
        <w:t>。</w:t>
      </w:r>
    </w:p>
    <w:p>
      <w:pPr>
        <w:spacing w:line="360" w:lineRule="auto"/>
        <w:ind w:left="420" w:leftChars="200"/>
        <w:rPr>
          <w:rFonts w:ascii="宋体" w:hAnsi="宋体"/>
          <w:color w:val="auto"/>
          <w:szCs w:val="21"/>
          <w:highlight w:val="none"/>
        </w:rPr>
      </w:pPr>
      <w:r>
        <w:rPr>
          <w:rFonts w:ascii="宋体" w:hAnsi="宋体"/>
          <w:color w:val="auto"/>
          <w:szCs w:val="21"/>
          <w:highlight w:val="none"/>
        </w:rPr>
        <w:t xml:space="preserve">1.4.2 </w:t>
      </w:r>
      <w:r>
        <w:rPr>
          <w:rFonts w:hint="eastAsia" w:ascii="宋体" w:hAnsi="宋体"/>
          <w:color w:val="auto"/>
          <w:szCs w:val="21"/>
          <w:highlight w:val="none"/>
        </w:rPr>
        <w:t>发包人提供的国外标准、规范的名称：</w:t>
      </w:r>
      <w:r>
        <w:rPr>
          <w:rFonts w:hint="eastAsia" w:ascii="宋体" w:hAnsi="宋体"/>
          <w:color w:val="auto"/>
          <w:szCs w:val="21"/>
          <w:highlight w:val="none"/>
          <w:u w:val="single"/>
        </w:rPr>
        <w:t xml:space="preserve">  无 </w:t>
      </w:r>
      <w:r>
        <w:rPr>
          <w:rFonts w:hint="eastAsia" w:ascii="宋体" w:hAnsi="宋体"/>
          <w:color w:val="auto"/>
          <w:szCs w:val="21"/>
          <w:highlight w:val="none"/>
        </w:rPr>
        <w:t>；发包人提供的国外标准、规范的份数：</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发包人提供的国外标准、规范的时间：</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1.4.3 </w:t>
      </w:r>
      <w:r>
        <w:rPr>
          <w:rFonts w:hint="eastAsia" w:ascii="宋体" w:hAnsi="宋体"/>
          <w:color w:val="auto"/>
          <w:szCs w:val="21"/>
          <w:highlight w:val="none"/>
        </w:rPr>
        <w:t>没有成文规范、标准规定的约定：</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1.4.4 </w:t>
      </w:r>
      <w:r>
        <w:rPr>
          <w:rFonts w:hint="eastAsia" w:ascii="宋体" w:hAnsi="宋体"/>
          <w:color w:val="auto"/>
          <w:szCs w:val="21"/>
          <w:highlight w:val="none"/>
        </w:rPr>
        <w:t>发包人对于工程的技术标准、功能要求：</w:t>
      </w:r>
      <w:r>
        <w:rPr>
          <w:rFonts w:hint="eastAsia" w:ascii="宋体" w:hAnsi="宋体"/>
          <w:color w:val="auto"/>
          <w:szCs w:val="21"/>
          <w:highlight w:val="none"/>
          <w:u w:val="single"/>
        </w:rPr>
        <w:t>符合现行</w:t>
      </w:r>
      <w:r>
        <w:rPr>
          <w:rFonts w:ascii="宋体" w:hAnsi="宋体"/>
          <w:color w:val="auto"/>
          <w:szCs w:val="21"/>
          <w:highlight w:val="none"/>
          <w:u w:val="single"/>
        </w:rPr>
        <w:t>的设计、施工、验收规范</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1.5 </w:t>
      </w:r>
      <w:r>
        <w:rPr>
          <w:rFonts w:hint="eastAsia" w:ascii="宋体" w:hAnsi="宋体"/>
          <w:color w:val="auto"/>
          <w:szCs w:val="21"/>
          <w:highlight w:val="none"/>
        </w:rPr>
        <w:t>合同文件的优先顺序</w:t>
      </w:r>
    </w:p>
    <w:p>
      <w:pPr>
        <w:spacing w:line="360" w:lineRule="auto"/>
        <w:ind w:firstLine="420"/>
        <w:rPr>
          <w:rFonts w:ascii="宋体" w:hAnsi="宋体"/>
          <w:color w:val="auto"/>
          <w:szCs w:val="21"/>
          <w:highlight w:val="none"/>
        </w:rPr>
      </w:pPr>
      <w:r>
        <w:rPr>
          <w:rFonts w:hint="eastAsia" w:ascii="宋体" w:hAnsi="宋体"/>
          <w:color w:val="auto"/>
          <w:szCs w:val="21"/>
          <w:highlight w:val="none"/>
        </w:rPr>
        <w:t>合同文件组成及优先顺序为：</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1.6 </w:t>
      </w:r>
      <w:r>
        <w:rPr>
          <w:rFonts w:hint="eastAsia" w:ascii="宋体" w:hAnsi="宋体"/>
          <w:color w:val="auto"/>
          <w:szCs w:val="21"/>
          <w:highlight w:val="none"/>
        </w:rPr>
        <w:t>文件的提供和照管</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1.6.1 </w:t>
      </w:r>
      <w:r>
        <w:rPr>
          <w:rFonts w:hint="eastAsia" w:ascii="宋体" w:hAnsi="宋体"/>
          <w:color w:val="auto"/>
          <w:szCs w:val="21"/>
          <w:highlight w:val="none"/>
        </w:rPr>
        <w:t>发包人文件的提供</w:t>
      </w:r>
    </w:p>
    <w:p>
      <w:pPr>
        <w:spacing w:line="360" w:lineRule="auto"/>
        <w:ind w:firstLine="420"/>
        <w:rPr>
          <w:rFonts w:ascii="宋体" w:hAnsi="宋体"/>
          <w:color w:val="auto"/>
          <w:szCs w:val="21"/>
          <w:highlight w:val="none"/>
        </w:rPr>
      </w:pPr>
      <w:r>
        <w:rPr>
          <w:rFonts w:hint="eastAsia" w:ascii="宋体" w:hAnsi="宋体"/>
          <w:color w:val="auto"/>
          <w:szCs w:val="21"/>
          <w:highlight w:val="none"/>
        </w:rPr>
        <w:t>发包人文件的提供期限、名称、数量和形式：</w:t>
      </w:r>
      <w:r>
        <w:rPr>
          <w:rFonts w:hint="eastAsia" w:ascii="宋体" w:hAnsi="宋体"/>
          <w:color w:val="auto"/>
          <w:szCs w:val="21"/>
          <w:highlight w:val="none"/>
          <w:u w:val="single"/>
        </w:rPr>
        <w:t>签约后7日历天内</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1.6.2 </w:t>
      </w:r>
      <w:r>
        <w:rPr>
          <w:rFonts w:hint="eastAsia" w:ascii="宋体" w:hAnsi="宋体"/>
          <w:color w:val="auto"/>
          <w:szCs w:val="21"/>
          <w:highlight w:val="none"/>
        </w:rPr>
        <w:t>承包人文件的提供</w:t>
      </w:r>
    </w:p>
    <w:p>
      <w:pPr>
        <w:spacing w:line="360" w:lineRule="auto"/>
        <w:ind w:firstLine="420"/>
        <w:rPr>
          <w:rFonts w:ascii="宋体" w:hAnsi="宋体"/>
          <w:color w:val="auto"/>
          <w:szCs w:val="21"/>
          <w:highlight w:val="none"/>
        </w:rPr>
      </w:pPr>
      <w:r>
        <w:rPr>
          <w:rFonts w:hint="eastAsia" w:ascii="宋体" w:hAnsi="宋体"/>
          <w:color w:val="auto"/>
          <w:szCs w:val="21"/>
          <w:highlight w:val="none"/>
        </w:rPr>
        <w:t>承包人文件的内容、提供期限、名称、数量和形式：</w:t>
      </w:r>
      <w:r>
        <w:rPr>
          <w:rFonts w:hint="eastAsia" w:ascii="宋体" w:hAnsi="宋体"/>
          <w:color w:val="auto"/>
          <w:szCs w:val="21"/>
          <w:highlight w:val="none"/>
          <w:u w:val="single"/>
        </w:rPr>
        <w:t>施工图、施工组织设计、工程进度计划及专项施工方案</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1.6.4 </w:t>
      </w:r>
      <w:r>
        <w:rPr>
          <w:rFonts w:hint="eastAsia" w:ascii="宋体" w:hAnsi="宋体"/>
          <w:color w:val="auto"/>
          <w:szCs w:val="21"/>
          <w:highlight w:val="none"/>
        </w:rPr>
        <w:t>文件的照管</w:t>
      </w:r>
    </w:p>
    <w:p>
      <w:pPr>
        <w:spacing w:line="360" w:lineRule="auto"/>
        <w:ind w:firstLine="420"/>
        <w:rPr>
          <w:rFonts w:ascii="宋体" w:hAnsi="宋体"/>
          <w:color w:val="auto"/>
          <w:szCs w:val="21"/>
          <w:highlight w:val="none"/>
        </w:rPr>
      </w:pPr>
      <w:r>
        <w:rPr>
          <w:rFonts w:hint="eastAsia" w:ascii="宋体" w:hAnsi="宋体"/>
          <w:color w:val="auto"/>
          <w:szCs w:val="21"/>
          <w:highlight w:val="none"/>
        </w:rPr>
        <w:t>关于现场文件准备的约定：</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1.7 </w:t>
      </w:r>
      <w:r>
        <w:rPr>
          <w:rFonts w:hint="eastAsia" w:ascii="宋体" w:hAnsi="宋体"/>
          <w:color w:val="auto"/>
          <w:szCs w:val="21"/>
          <w:highlight w:val="none"/>
        </w:rPr>
        <w:t>联络</w:t>
      </w:r>
    </w:p>
    <w:p>
      <w:pPr>
        <w:spacing w:line="360" w:lineRule="auto"/>
        <w:ind w:left="420" w:leftChars="200"/>
        <w:rPr>
          <w:rFonts w:ascii="宋体" w:hAnsi="宋体"/>
          <w:color w:val="auto"/>
          <w:szCs w:val="21"/>
          <w:highlight w:val="none"/>
        </w:rPr>
      </w:pPr>
      <w:r>
        <w:rPr>
          <w:rFonts w:ascii="宋体" w:hAnsi="宋体"/>
          <w:color w:val="auto"/>
          <w:szCs w:val="21"/>
          <w:highlight w:val="none"/>
        </w:rPr>
        <w:t xml:space="preserve">1.7.2 </w:t>
      </w:r>
      <w:r>
        <w:rPr>
          <w:rFonts w:hint="eastAsia" w:ascii="宋体" w:hAnsi="宋体"/>
          <w:color w:val="auto"/>
          <w:szCs w:val="21"/>
          <w:highlight w:val="none"/>
        </w:rPr>
        <w:t>发包人指定的送达方式（包括电子传输方式）：</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发包人的送达地址：</w:t>
      </w:r>
      <w:r>
        <w:rPr>
          <w:rFonts w:hint="eastAsia" w:ascii="宋体" w:hAnsi="宋体"/>
          <w:color w:val="auto"/>
          <w:szCs w:val="21"/>
          <w:highlight w:val="none"/>
          <w:u w:val="single"/>
        </w:rPr>
        <w:t>根据需要由双方协商确定</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承包人指定的送达方式（包括电子传输方式）:</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承包人的送达地址：</w:t>
      </w:r>
      <w:r>
        <w:rPr>
          <w:rFonts w:hint="eastAsia" w:ascii="宋体" w:hAnsi="宋体"/>
          <w:color w:val="auto"/>
          <w:szCs w:val="21"/>
          <w:highlight w:val="none"/>
          <w:u w:val="single"/>
        </w:rPr>
        <w:t>根据需要由双方协商确定</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1.10 </w:t>
      </w:r>
      <w:r>
        <w:rPr>
          <w:rFonts w:hint="eastAsia" w:ascii="宋体" w:hAnsi="宋体"/>
          <w:color w:val="auto"/>
          <w:szCs w:val="21"/>
          <w:highlight w:val="none"/>
        </w:rPr>
        <w:t>知识产权</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1.10.1 </w:t>
      </w:r>
      <w:r>
        <w:rPr>
          <w:rFonts w:hint="eastAsia" w:ascii="宋体" w:hAnsi="宋体"/>
          <w:color w:val="auto"/>
          <w:szCs w:val="21"/>
          <w:highlight w:val="none"/>
        </w:rPr>
        <w:t>由发包人（或以发包人名义）编制的《发包人要求》和其他文件的著作权归属：</w:t>
      </w:r>
      <w:r>
        <w:rPr>
          <w:rFonts w:hint="eastAsia" w:ascii="宋体" w:hAnsi="宋体"/>
          <w:color w:val="auto"/>
          <w:szCs w:val="21"/>
          <w:highlight w:val="none"/>
          <w:u w:val="single"/>
        </w:rPr>
        <w:t>发包人</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1.10.2 </w:t>
      </w:r>
      <w:r>
        <w:rPr>
          <w:rFonts w:hint="eastAsia" w:ascii="宋体" w:hAnsi="宋体"/>
          <w:color w:val="auto"/>
          <w:szCs w:val="21"/>
          <w:highlight w:val="none"/>
        </w:rPr>
        <w:t>由承包人（或以承包人名义）为实施工程所编制的文件、承包人完成的设计工作成果和建造完成的建筑物的知识产权归属：</w:t>
      </w:r>
      <w:r>
        <w:rPr>
          <w:rFonts w:hint="eastAsia" w:ascii="宋体" w:hAnsi="宋体"/>
          <w:color w:val="auto"/>
          <w:szCs w:val="21"/>
          <w:highlight w:val="none"/>
          <w:u w:val="single"/>
        </w:rPr>
        <w:t>发包人</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1.10.4 </w:t>
      </w:r>
      <w:r>
        <w:rPr>
          <w:rFonts w:hint="eastAsia" w:ascii="宋体" w:hAnsi="宋体"/>
          <w:color w:val="auto"/>
          <w:szCs w:val="21"/>
          <w:highlight w:val="none"/>
        </w:rPr>
        <w:t>承包人在投标文件中采用的专利、专有技术、技术秘密的使用费的承担方式:</w:t>
      </w:r>
      <w:r>
        <w:rPr>
          <w:rFonts w:hint="eastAsia" w:ascii="宋体" w:hAnsi="宋体"/>
          <w:color w:val="auto"/>
          <w:szCs w:val="21"/>
          <w:highlight w:val="none"/>
          <w:u w:val="single"/>
        </w:rPr>
        <w:t>由承包人承担</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1.11 </w:t>
      </w:r>
      <w:r>
        <w:rPr>
          <w:rFonts w:hint="eastAsia" w:ascii="宋体" w:hAnsi="宋体"/>
          <w:color w:val="auto"/>
          <w:szCs w:val="21"/>
          <w:highlight w:val="none"/>
        </w:rPr>
        <w:t>保密</w:t>
      </w:r>
    </w:p>
    <w:p>
      <w:pPr>
        <w:spacing w:line="360" w:lineRule="auto"/>
        <w:ind w:firstLine="420"/>
        <w:rPr>
          <w:rFonts w:ascii="宋体" w:hAnsi="宋体"/>
          <w:color w:val="auto"/>
          <w:szCs w:val="21"/>
          <w:highlight w:val="none"/>
        </w:rPr>
      </w:pPr>
      <w:r>
        <w:rPr>
          <w:rFonts w:hint="eastAsia" w:ascii="宋体" w:hAnsi="宋体"/>
          <w:color w:val="auto"/>
          <w:szCs w:val="21"/>
          <w:highlight w:val="none"/>
        </w:rPr>
        <w:t>双方订立的商业保密协议（名称）：</w:t>
      </w:r>
      <w:r>
        <w:rPr>
          <w:rFonts w:ascii="宋体" w:hAnsi="宋体"/>
          <w:color w:val="auto"/>
          <w:szCs w:val="21"/>
          <w:highlight w:val="none"/>
          <w:u w:val="single"/>
        </w:rPr>
        <w:t xml:space="preserve">  /   </w:t>
      </w:r>
      <w:r>
        <w:rPr>
          <w:rFonts w:hint="eastAsia" w:ascii="宋体" w:hAnsi="宋体"/>
          <w:color w:val="auto"/>
          <w:szCs w:val="21"/>
          <w:highlight w:val="none"/>
        </w:rPr>
        <w:t>，作为本合同附件。</w:t>
      </w:r>
    </w:p>
    <w:p>
      <w:pPr>
        <w:spacing w:line="360" w:lineRule="auto"/>
        <w:ind w:firstLine="420"/>
        <w:rPr>
          <w:rFonts w:ascii="宋体" w:hAnsi="宋体"/>
          <w:color w:val="auto"/>
          <w:szCs w:val="21"/>
          <w:highlight w:val="none"/>
        </w:rPr>
      </w:pPr>
      <w:r>
        <w:rPr>
          <w:rFonts w:hint="eastAsia" w:ascii="宋体" w:hAnsi="宋体"/>
          <w:color w:val="auto"/>
          <w:szCs w:val="21"/>
          <w:highlight w:val="none"/>
        </w:rPr>
        <w:t>双方订立的技术保密协议（名称）：</w:t>
      </w:r>
      <w:r>
        <w:rPr>
          <w:rFonts w:ascii="宋体" w:hAnsi="宋体"/>
          <w:color w:val="auto"/>
          <w:szCs w:val="21"/>
          <w:highlight w:val="none"/>
          <w:u w:val="single"/>
        </w:rPr>
        <w:t xml:space="preserve">  /   </w:t>
      </w:r>
      <w:r>
        <w:rPr>
          <w:rFonts w:hint="eastAsia" w:ascii="宋体" w:hAnsi="宋体"/>
          <w:color w:val="auto"/>
          <w:szCs w:val="21"/>
          <w:highlight w:val="none"/>
        </w:rPr>
        <w:t>，作为本合同附件。</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1.13 </w:t>
      </w:r>
      <w:r>
        <w:rPr>
          <w:rFonts w:hint="eastAsia" w:ascii="宋体" w:hAnsi="宋体"/>
          <w:color w:val="auto"/>
          <w:szCs w:val="21"/>
          <w:highlight w:val="none"/>
        </w:rPr>
        <w:t>责任限制</w:t>
      </w:r>
    </w:p>
    <w:p>
      <w:pPr>
        <w:spacing w:line="360" w:lineRule="auto"/>
        <w:ind w:firstLine="420"/>
        <w:rPr>
          <w:rFonts w:ascii="宋体" w:hAnsi="宋体"/>
          <w:color w:val="auto"/>
          <w:szCs w:val="21"/>
          <w:highlight w:val="none"/>
        </w:rPr>
      </w:pPr>
      <w:r>
        <w:rPr>
          <w:rFonts w:hint="eastAsia" w:ascii="宋体" w:hAnsi="宋体"/>
          <w:color w:val="auto"/>
          <w:szCs w:val="21"/>
          <w:highlight w:val="none"/>
        </w:rPr>
        <w:t>承包人对发包人赔偿责任的最高限额为</w:t>
      </w:r>
      <w:r>
        <w:rPr>
          <w:rFonts w:hint="eastAsia" w:ascii="宋体" w:hAnsi="宋体"/>
          <w:color w:val="auto"/>
          <w:szCs w:val="21"/>
          <w:highlight w:val="none"/>
          <w:u w:val="single"/>
        </w:rPr>
        <w:t>合同价</w:t>
      </w:r>
      <w:r>
        <w:rPr>
          <w:rFonts w:ascii="宋体" w:hAnsi="宋体"/>
          <w:color w:val="auto"/>
          <w:szCs w:val="21"/>
          <w:highlight w:val="none"/>
          <w:u w:val="single"/>
        </w:rPr>
        <w:t>的</w:t>
      </w:r>
      <w:r>
        <w:rPr>
          <w:rFonts w:hint="eastAsia" w:ascii="宋体" w:hAnsi="宋体"/>
          <w:color w:val="auto"/>
          <w:szCs w:val="21"/>
          <w:highlight w:val="none"/>
          <w:u w:val="single"/>
        </w:rPr>
        <w:t>10</w:t>
      </w:r>
      <w:r>
        <w:rPr>
          <w:rFonts w:ascii="宋体" w:hAnsi="宋体"/>
          <w:color w:val="auto"/>
          <w:szCs w:val="21"/>
          <w:highlight w:val="none"/>
          <w:u w:val="single"/>
        </w:rPr>
        <w:t>%</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1.14 </w:t>
      </w:r>
      <w:r>
        <w:rPr>
          <w:rFonts w:hint="eastAsia" w:ascii="宋体" w:hAnsi="宋体"/>
          <w:color w:val="auto"/>
          <w:szCs w:val="21"/>
          <w:highlight w:val="none"/>
        </w:rPr>
        <w:t>建筑信息模型技术的应用</w:t>
      </w:r>
    </w:p>
    <w:p>
      <w:pPr>
        <w:spacing w:line="360" w:lineRule="auto"/>
        <w:ind w:firstLine="420"/>
        <w:rPr>
          <w:rFonts w:ascii="宋体" w:hAnsi="宋体"/>
          <w:color w:val="auto"/>
          <w:szCs w:val="21"/>
          <w:highlight w:val="none"/>
        </w:rPr>
      </w:pPr>
      <w:r>
        <w:rPr>
          <w:rFonts w:hint="eastAsia" w:ascii="宋体" w:hAnsi="宋体"/>
          <w:color w:val="auto"/>
          <w:szCs w:val="21"/>
          <w:highlight w:val="none"/>
        </w:rPr>
        <w:t>关于建筑信息模型技术的开发、使用、存储、传输、交付及费用约定如下：</w:t>
      </w:r>
      <w:r>
        <w:rPr>
          <w:rFonts w:ascii="宋体" w:hAnsi="宋体"/>
          <w:color w:val="auto"/>
          <w:szCs w:val="21"/>
          <w:highlight w:val="none"/>
          <w:u w:val="single"/>
        </w:rPr>
        <w:t xml:space="preserve">  /    </w:t>
      </w:r>
      <w:r>
        <w:rPr>
          <w:rFonts w:hint="eastAsia" w:ascii="宋体" w:hAnsi="宋体"/>
          <w:color w:val="auto"/>
          <w:szCs w:val="21"/>
          <w:highlight w:val="none"/>
        </w:rPr>
        <w:t>。</w:t>
      </w:r>
    </w:p>
    <w:p>
      <w:pPr>
        <w:pStyle w:val="246"/>
        <w:spacing w:after="120"/>
        <w:ind w:firstLine="420"/>
        <w:outlineLvl w:val="9"/>
        <w:rPr>
          <w:b w:val="0"/>
          <w:bCs/>
          <w:color w:val="auto"/>
          <w:sz w:val="21"/>
          <w:szCs w:val="21"/>
          <w:highlight w:val="none"/>
        </w:rPr>
      </w:pPr>
      <w:bookmarkStart w:id="35" w:name="_Toc54862333"/>
      <w:r>
        <w:rPr>
          <w:rFonts w:hint="eastAsia"/>
          <w:b w:val="0"/>
          <w:bCs/>
          <w:color w:val="auto"/>
          <w:sz w:val="21"/>
          <w:szCs w:val="21"/>
          <w:highlight w:val="none"/>
        </w:rPr>
        <w:t>第</w:t>
      </w:r>
      <w:r>
        <w:rPr>
          <w:b w:val="0"/>
          <w:bCs/>
          <w:color w:val="auto"/>
          <w:sz w:val="21"/>
          <w:szCs w:val="21"/>
          <w:highlight w:val="none"/>
        </w:rPr>
        <w:t>2条</w:t>
      </w:r>
      <w:r>
        <w:rPr>
          <w:rFonts w:hint="eastAsia"/>
          <w:b w:val="0"/>
          <w:bCs/>
          <w:color w:val="auto"/>
          <w:sz w:val="21"/>
          <w:szCs w:val="21"/>
          <w:highlight w:val="none"/>
        </w:rPr>
        <w:t xml:space="preserve"> 发包人</w:t>
      </w:r>
      <w:bookmarkEnd w:id="35"/>
    </w:p>
    <w:p>
      <w:pPr>
        <w:spacing w:line="360" w:lineRule="auto"/>
        <w:ind w:firstLine="420"/>
        <w:rPr>
          <w:rFonts w:ascii="宋体" w:hAnsi="宋体"/>
          <w:color w:val="auto"/>
          <w:szCs w:val="21"/>
          <w:highlight w:val="none"/>
        </w:rPr>
      </w:pPr>
      <w:r>
        <w:rPr>
          <w:rFonts w:ascii="宋体" w:hAnsi="宋体"/>
          <w:color w:val="auto"/>
          <w:szCs w:val="21"/>
          <w:highlight w:val="none"/>
        </w:rPr>
        <w:t xml:space="preserve">2.2 </w:t>
      </w:r>
      <w:r>
        <w:rPr>
          <w:rFonts w:hint="eastAsia" w:ascii="宋体" w:hAnsi="宋体"/>
          <w:color w:val="auto"/>
          <w:szCs w:val="21"/>
          <w:highlight w:val="none"/>
        </w:rPr>
        <w:t>提供施工现场和工作条件</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2.2.1 </w:t>
      </w:r>
      <w:r>
        <w:rPr>
          <w:rFonts w:hint="eastAsia" w:ascii="宋体" w:hAnsi="宋体"/>
          <w:color w:val="auto"/>
          <w:szCs w:val="21"/>
          <w:highlight w:val="none"/>
        </w:rPr>
        <w:t>提供施工现场</w:t>
      </w:r>
    </w:p>
    <w:p>
      <w:pPr>
        <w:spacing w:line="360" w:lineRule="auto"/>
        <w:ind w:firstLine="420"/>
        <w:rPr>
          <w:rFonts w:ascii="宋体" w:hAnsi="宋体"/>
          <w:color w:val="auto"/>
          <w:szCs w:val="21"/>
          <w:highlight w:val="none"/>
        </w:rPr>
      </w:pPr>
      <w:r>
        <w:rPr>
          <w:rFonts w:hint="eastAsia" w:ascii="宋体" w:hAnsi="宋体"/>
          <w:color w:val="auto"/>
          <w:szCs w:val="21"/>
          <w:highlight w:val="none"/>
        </w:rPr>
        <w:t>关于发包人提供施工现场的范围和期限：</w:t>
      </w:r>
      <w:r>
        <w:rPr>
          <w:rFonts w:hint="eastAsia" w:ascii="宋体" w:hAnsi="宋体"/>
          <w:color w:val="auto"/>
          <w:szCs w:val="21"/>
          <w:highlight w:val="none"/>
          <w:u w:val="single"/>
        </w:rPr>
        <w:t>施工现场已具备开工条件，有关进场准备的工作，由承包人根据本工程施工要求在开工前做好此项工程，费用已含在承包人的投标报价中</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2.2.2 </w:t>
      </w:r>
      <w:r>
        <w:rPr>
          <w:rFonts w:hint="eastAsia" w:ascii="宋体" w:hAnsi="宋体"/>
          <w:color w:val="auto"/>
          <w:szCs w:val="21"/>
          <w:highlight w:val="none"/>
        </w:rPr>
        <w:t>提供工作条件</w:t>
      </w:r>
    </w:p>
    <w:p>
      <w:pPr>
        <w:spacing w:line="360" w:lineRule="auto"/>
        <w:ind w:firstLine="420"/>
        <w:rPr>
          <w:rFonts w:ascii="宋体" w:hAnsi="宋体" w:cs="宋体"/>
          <w:color w:val="auto"/>
          <w:szCs w:val="21"/>
          <w:highlight w:val="none"/>
          <w:u w:val="single"/>
        </w:rPr>
      </w:pPr>
      <w:r>
        <w:rPr>
          <w:rFonts w:hint="eastAsia" w:ascii="宋体" w:hAnsi="宋体"/>
          <w:color w:val="auto"/>
          <w:szCs w:val="21"/>
          <w:highlight w:val="none"/>
        </w:rPr>
        <w:t>关于发包人应负责提供的工作条件包括：</w:t>
      </w:r>
      <w:r>
        <w:rPr>
          <w:rFonts w:hint="eastAsia" w:ascii="宋体" w:hAnsi="宋体" w:cs="宋体"/>
          <w:color w:val="auto"/>
          <w:szCs w:val="21"/>
          <w:highlight w:val="none"/>
          <w:u w:val="single"/>
        </w:rPr>
        <w:t>施工所需的水、电接至施工场地，施工时承包人装表计量，施工用水、电和生活用水、用电所发生费用由发包方支付，在项目结算时按实际费用一次性扣除；施工、生活用水、电如有缺口，由承包人自行解决，在投标报价时充分考虑</w:t>
      </w:r>
      <w:r>
        <w:rPr>
          <w:rFonts w:hint="eastAsia" w:ascii="宋体" w:hAnsi="宋体" w:cs="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2.3 </w:t>
      </w:r>
      <w:r>
        <w:rPr>
          <w:rFonts w:hint="eastAsia" w:ascii="宋体" w:hAnsi="宋体"/>
          <w:color w:val="auto"/>
          <w:szCs w:val="21"/>
          <w:highlight w:val="none"/>
        </w:rPr>
        <w:t>提供基础资料</w:t>
      </w:r>
    </w:p>
    <w:p>
      <w:pPr>
        <w:spacing w:line="360" w:lineRule="auto"/>
        <w:ind w:firstLine="420"/>
        <w:rPr>
          <w:rFonts w:ascii="宋体" w:hAnsi="宋体"/>
          <w:color w:val="auto"/>
          <w:szCs w:val="21"/>
          <w:highlight w:val="none"/>
        </w:rPr>
      </w:pPr>
      <w:r>
        <w:rPr>
          <w:rFonts w:hint="eastAsia" w:ascii="宋体" w:hAnsi="宋体"/>
          <w:color w:val="auto"/>
          <w:szCs w:val="21"/>
          <w:highlight w:val="none"/>
        </w:rPr>
        <w:t>关于发包人应提供的基础资料的范围和期限：</w:t>
      </w:r>
      <w:r>
        <w:rPr>
          <w:rFonts w:hint="eastAsia" w:ascii="宋体" w:hAnsi="宋体"/>
          <w:color w:val="auto"/>
          <w:szCs w:val="21"/>
          <w:highlight w:val="none"/>
          <w:u w:val="single"/>
        </w:rPr>
        <w:t>根据需要由双方协商确定时间</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2.5 </w:t>
      </w:r>
      <w:r>
        <w:rPr>
          <w:rFonts w:hint="eastAsia" w:ascii="宋体" w:hAnsi="宋体"/>
          <w:color w:val="auto"/>
          <w:szCs w:val="21"/>
          <w:highlight w:val="none"/>
        </w:rPr>
        <w:t>支付合同价款</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2.5.2 </w:t>
      </w:r>
      <w:r>
        <w:rPr>
          <w:rFonts w:hint="eastAsia" w:ascii="宋体" w:hAnsi="宋体"/>
          <w:color w:val="auto"/>
          <w:szCs w:val="21"/>
          <w:highlight w:val="none"/>
        </w:rPr>
        <w:t>发包人提供资金来源证明及资金安排的期限要求：</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2.5.3 </w:t>
      </w:r>
      <w:r>
        <w:rPr>
          <w:rFonts w:hint="eastAsia" w:ascii="宋体" w:hAnsi="宋体"/>
          <w:color w:val="auto"/>
          <w:szCs w:val="21"/>
          <w:highlight w:val="none"/>
        </w:rPr>
        <w:t>发包人提供支付担保的形式、期限、金额（或比例）：</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2.7 </w:t>
      </w:r>
      <w:r>
        <w:rPr>
          <w:rFonts w:hint="eastAsia" w:ascii="宋体" w:hAnsi="宋体"/>
          <w:color w:val="auto"/>
          <w:szCs w:val="21"/>
          <w:highlight w:val="none"/>
        </w:rPr>
        <w:t>其他义务</w:t>
      </w:r>
    </w:p>
    <w:p>
      <w:pPr>
        <w:spacing w:line="360" w:lineRule="auto"/>
        <w:ind w:firstLine="420"/>
        <w:rPr>
          <w:rFonts w:ascii="宋体" w:hAnsi="宋体"/>
          <w:color w:val="auto"/>
          <w:szCs w:val="21"/>
          <w:highlight w:val="none"/>
        </w:rPr>
      </w:pPr>
      <w:r>
        <w:rPr>
          <w:rFonts w:hint="eastAsia" w:ascii="宋体" w:hAnsi="宋体"/>
          <w:color w:val="auto"/>
          <w:szCs w:val="21"/>
          <w:highlight w:val="none"/>
        </w:rPr>
        <w:t>发包人应履行的其他义务：</w:t>
      </w:r>
      <w:r>
        <w:rPr>
          <w:rFonts w:ascii="宋体" w:hAnsi="宋体"/>
          <w:color w:val="auto"/>
          <w:szCs w:val="21"/>
          <w:highlight w:val="none"/>
          <w:u w:val="single"/>
        </w:rPr>
        <w:t xml:space="preserve">    /   </w:t>
      </w:r>
      <w:r>
        <w:rPr>
          <w:rFonts w:hint="eastAsia" w:ascii="宋体" w:hAnsi="宋体"/>
          <w:color w:val="auto"/>
          <w:szCs w:val="21"/>
          <w:highlight w:val="none"/>
        </w:rPr>
        <w:t>。</w:t>
      </w:r>
    </w:p>
    <w:p>
      <w:pPr>
        <w:pStyle w:val="246"/>
        <w:spacing w:after="120"/>
        <w:ind w:firstLine="420"/>
        <w:outlineLvl w:val="9"/>
        <w:rPr>
          <w:b w:val="0"/>
          <w:bCs/>
          <w:color w:val="auto"/>
          <w:sz w:val="21"/>
          <w:szCs w:val="21"/>
          <w:highlight w:val="none"/>
        </w:rPr>
      </w:pPr>
      <w:bookmarkStart w:id="36" w:name="_Toc54862334"/>
      <w:r>
        <w:rPr>
          <w:rFonts w:hint="eastAsia"/>
          <w:b w:val="0"/>
          <w:bCs/>
          <w:color w:val="auto"/>
          <w:sz w:val="21"/>
          <w:szCs w:val="21"/>
          <w:highlight w:val="none"/>
        </w:rPr>
        <w:t>第</w:t>
      </w:r>
      <w:r>
        <w:rPr>
          <w:b w:val="0"/>
          <w:bCs/>
          <w:color w:val="auto"/>
          <w:sz w:val="21"/>
          <w:szCs w:val="21"/>
          <w:highlight w:val="none"/>
        </w:rPr>
        <w:t>3条</w:t>
      </w:r>
      <w:r>
        <w:rPr>
          <w:rFonts w:hint="eastAsia"/>
          <w:b w:val="0"/>
          <w:bCs/>
          <w:color w:val="auto"/>
          <w:sz w:val="21"/>
          <w:szCs w:val="21"/>
          <w:highlight w:val="none"/>
        </w:rPr>
        <w:t xml:space="preserve"> 发包人的管理</w:t>
      </w:r>
      <w:bookmarkEnd w:id="36"/>
    </w:p>
    <w:p>
      <w:pPr>
        <w:spacing w:line="360" w:lineRule="auto"/>
        <w:ind w:firstLine="420"/>
        <w:rPr>
          <w:rFonts w:ascii="宋体" w:hAnsi="宋体"/>
          <w:color w:val="auto"/>
          <w:szCs w:val="21"/>
          <w:highlight w:val="none"/>
        </w:rPr>
      </w:pPr>
      <w:r>
        <w:rPr>
          <w:rFonts w:ascii="宋体" w:hAnsi="宋体"/>
          <w:color w:val="auto"/>
          <w:szCs w:val="21"/>
          <w:highlight w:val="none"/>
        </w:rPr>
        <w:t xml:space="preserve">3.1 </w:t>
      </w:r>
      <w:r>
        <w:rPr>
          <w:rFonts w:hint="eastAsia" w:ascii="宋体" w:hAnsi="宋体"/>
          <w:color w:val="auto"/>
          <w:szCs w:val="21"/>
          <w:highlight w:val="none"/>
        </w:rPr>
        <w:t>发包人代表</w:t>
      </w:r>
    </w:p>
    <w:p>
      <w:pPr>
        <w:spacing w:line="360" w:lineRule="auto"/>
        <w:ind w:firstLine="420"/>
        <w:rPr>
          <w:rFonts w:ascii="宋体" w:hAnsi="宋体"/>
          <w:color w:val="auto"/>
          <w:szCs w:val="21"/>
          <w:highlight w:val="none"/>
        </w:rPr>
      </w:pPr>
      <w:r>
        <w:rPr>
          <w:rFonts w:hint="eastAsia" w:ascii="宋体" w:hAnsi="宋体"/>
          <w:color w:val="auto"/>
          <w:szCs w:val="21"/>
          <w:highlight w:val="none"/>
        </w:rPr>
        <w:t>发包人代表的姓名：</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发包人代表的身份证号：</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发包人代表的职务：</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发包人代表的联系电话：</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发包人代表的电子邮箱：</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发包人代表的通信地址：</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发包人对发包人代表的授权范围如下：</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发包人代表的职责：</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3.2 </w:t>
      </w:r>
      <w:r>
        <w:rPr>
          <w:rFonts w:hint="eastAsia" w:ascii="宋体" w:hAnsi="宋体"/>
          <w:color w:val="auto"/>
          <w:szCs w:val="21"/>
          <w:highlight w:val="none"/>
        </w:rPr>
        <w:t>发包人人员</w:t>
      </w:r>
    </w:p>
    <w:p>
      <w:pPr>
        <w:spacing w:line="360" w:lineRule="auto"/>
        <w:ind w:firstLine="420"/>
        <w:rPr>
          <w:rFonts w:ascii="宋体" w:hAnsi="宋体"/>
          <w:color w:val="auto"/>
          <w:szCs w:val="21"/>
          <w:highlight w:val="none"/>
        </w:rPr>
      </w:pPr>
      <w:r>
        <w:rPr>
          <w:rFonts w:ascii="宋体" w:hAnsi="宋体"/>
          <w:color w:val="auto"/>
          <w:szCs w:val="21"/>
          <w:highlight w:val="none"/>
        </w:rPr>
        <w:t>发包人人员姓名：</w:t>
      </w:r>
      <w:r>
        <w:rPr>
          <w:rFonts w:ascii="宋体" w:hAnsi="宋体"/>
          <w:color w:val="auto"/>
          <w:szCs w:val="21"/>
          <w:highlight w:val="none"/>
          <w:u w:val="single"/>
        </w:rPr>
        <w:t xml:space="preserve">                                   </w:t>
      </w:r>
      <w:r>
        <w:rPr>
          <w:rFonts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发包人人员职务：</w:t>
      </w:r>
      <w:r>
        <w:rPr>
          <w:rFonts w:ascii="宋体" w:hAnsi="宋体"/>
          <w:color w:val="auto"/>
          <w:szCs w:val="21"/>
          <w:highlight w:val="none"/>
          <w:u w:val="single"/>
        </w:rPr>
        <w:t xml:space="preserve">                                  </w:t>
      </w:r>
      <w:r>
        <w:rPr>
          <w:rFonts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发包人人员职责：</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3.3 </w:t>
      </w:r>
      <w:r>
        <w:rPr>
          <w:rFonts w:hint="eastAsia" w:ascii="宋体" w:hAnsi="宋体"/>
          <w:color w:val="auto"/>
          <w:szCs w:val="21"/>
          <w:highlight w:val="none"/>
        </w:rPr>
        <w:t>工程师</w:t>
      </w:r>
    </w:p>
    <w:p>
      <w:pPr>
        <w:spacing w:line="360" w:lineRule="auto"/>
        <w:ind w:firstLine="42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 xml:space="preserve">.3.1 </w:t>
      </w:r>
      <w:r>
        <w:rPr>
          <w:rFonts w:hint="eastAsia" w:ascii="宋体" w:hAnsi="宋体"/>
          <w:color w:val="auto"/>
          <w:szCs w:val="21"/>
          <w:highlight w:val="none"/>
        </w:rPr>
        <w:t>工程师名称</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工程师监督管理</w:t>
      </w:r>
      <w:r>
        <w:rPr>
          <w:rFonts w:ascii="宋体" w:hAnsi="宋体"/>
          <w:color w:val="auto"/>
          <w:szCs w:val="21"/>
          <w:highlight w:val="none"/>
        </w:rPr>
        <w:t>范围</w:t>
      </w:r>
      <w:r>
        <w:rPr>
          <w:rFonts w:hint="eastAsia" w:ascii="宋体" w:hAnsi="宋体"/>
          <w:color w:val="auto"/>
          <w:szCs w:val="21"/>
          <w:highlight w:val="none"/>
        </w:rPr>
        <w:t>、内容</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rPr>
        <w:t>；工程师</w:t>
      </w:r>
      <w:r>
        <w:rPr>
          <w:rFonts w:ascii="宋体" w:hAnsi="宋体"/>
          <w:color w:val="auto"/>
          <w:szCs w:val="21"/>
          <w:highlight w:val="none"/>
        </w:rPr>
        <w:t>权限：</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3.6 </w:t>
      </w:r>
      <w:r>
        <w:rPr>
          <w:rFonts w:hint="eastAsia" w:ascii="宋体" w:hAnsi="宋体"/>
          <w:color w:val="auto"/>
          <w:szCs w:val="21"/>
          <w:highlight w:val="none"/>
        </w:rPr>
        <w:t>商定或确定</w:t>
      </w:r>
    </w:p>
    <w:p>
      <w:pPr>
        <w:spacing w:line="360" w:lineRule="auto"/>
        <w:ind w:firstLine="42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.6.2 关于</w:t>
      </w:r>
      <w:r>
        <w:rPr>
          <w:rFonts w:hint="eastAsia" w:ascii="宋体" w:hAnsi="宋体"/>
          <w:color w:val="auto"/>
          <w:szCs w:val="21"/>
          <w:highlight w:val="none"/>
        </w:rPr>
        <w:t>商定</w:t>
      </w:r>
      <w:r>
        <w:rPr>
          <w:rFonts w:ascii="宋体" w:hAnsi="宋体"/>
          <w:color w:val="auto"/>
          <w:szCs w:val="21"/>
          <w:highlight w:val="none"/>
        </w:rPr>
        <w:t>时间限制的具体约定：</w:t>
      </w:r>
      <w:r>
        <w:rPr>
          <w:rFonts w:hint="eastAsia" w:ascii="宋体" w:hAnsi="宋体"/>
          <w:color w:val="auto"/>
          <w:szCs w:val="21"/>
          <w:highlight w:val="none"/>
          <w:u w:val="single"/>
        </w:rPr>
        <w:t>根据需要由双方协商确定</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3.6.3 关于</w:t>
      </w:r>
      <w:r>
        <w:rPr>
          <w:rFonts w:hint="eastAsia" w:ascii="宋体" w:hAnsi="宋体"/>
          <w:color w:val="auto"/>
          <w:szCs w:val="21"/>
          <w:highlight w:val="none"/>
        </w:rPr>
        <w:t>商定或确定</w:t>
      </w:r>
      <w:r>
        <w:rPr>
          <w:rFonts w:ascii="宋体" w:hAnsi="宋体"/>
          <w:color w:val="auto"/>
          <w:szCs w:val="21"/>
          <w:highlight w:val="none"/>
        </w:rPr>
        <w:t>效力的具体约定：</w:t>
      </w:r>
      <w:r>
        <w:rPr>
          <w:rFonts w:hint="eastAsia" w:ascii="宋体" w:hAnsi="宋体"/>
          <w:color w:val="auto"/>
          <w:szCs w:val="21"/>
          <w:highlight w:val="none"/>
          <w:u w:val="single"/>
        </w:rPr>
        <w:t>根据需要由双方协商确定</w:t>
      </w:r>
      <w:r>
        <w:rPr>
          <w:rFonts w:hint="eastAsia" w:ascii="宋体" w:hAnsi="宋体"/>
          <w:color w:val="auto"/>
          <w:szCs w:val="21"/>
          <w:highlight w:val="none"/>
        </w:rPr>
        <w:t>；</w:t>
      </w:r>
      <w:r>
        <w:rPr>
          <w:rFonts w:ascii="宋体" w:hAnsi="宋体"/>
          <w:color w:val="auto"/>
          <w:szCs w:val="21"/>
          <w:highlight w:val="none"/>
        </w:rPr>
        <w:t>关于对</w:t>
      </w:r>
      <w:r>
        <w:rPr>
          <w:rFonts w:hint="eastAsia" w:ascii="宋体" w:hAnsi="宋体"/>
          <w:color w:val="auto"/>
          <w:szCs w:val="21"/>
          <w:highlight w:val="none"/>
        </w:rPr>
        <w:t>工程师的确定提出异议</w:t>
      </w:r>
      <w:r>
        <w:rPr>
          <w:rFonts w:ascii="宋体" w:hAnsi="宋体"/>
          <w:color w:val="auto"/>
          <w:szCs w:val="21"/>
          <w:highlight w:val="none"/>
        </w:rPr>
        <w:t>的具体约定：</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3.7 </w:t>
      </w:r>
      <w:r>
        <w:rPr>
          <w:rFonts w:hint="eastAsia" w:ascii="宋体" w:hAnsi="宋体"/>
          <w:color w:val="auto"/>
          <w:szCs w:val="21"/>
          <w:highlight w:val="none"/>
        </w:rPr>
        <w:t>会议</w:t>
      </w:r>
    </w:p>
    <w:p>
      <w:pPr>
        <w:spacing w:line="360" w:lineRule="auto"/>
        <w:ind w:firstLine="42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.7.1 关于召开会议</w:t>
      </w:r>
      <w:r>
        <w:rPr>
          <w:rFonts w:hint="eastAsia" w:ascii="宋体" w:hAnsi="宋体"/>
          <w:color w:val="auto"/>
          <w:szCs w:val="21"/>
          <w:highlight w:val="none"/>
        </w:rPr>
        <w:t>的具体约定：</w:t>
      </w:r>
      <w:r>
        <w:rPr>
          <w:rFonts w:hint="eastAsia" w:ascii="宋体" w:hAnsi="宋体"/>
          <w:color w:val="auto"/>
          <w:szCs w:val="21"/>
          <w:highlight w:val="none"/>
          <w:u w:val="single"/>
        </w:rPr>
        <w:t>根据发包人通知</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 xml:space="preserve">.7.2 </w:t>
      </w:r>
      <w:r>
        <w:rPr>
          <w:rFonts w:hint="eastAsia" w:ascii="宋体" w:hAnsi="宋体"/>
          <w:color w:val="auto"/>
          <w:szCs w:val="21"/>
          <w:highlight w:val="none"/>
        </w:rPr>
        <w:t>关于保存和提供会议纪要</w:t>
      </w:r>
      <w:r>
        <w:rPr>
          <w:rFonts w:ascii="宋体" w:hAnsi="宋体"/>
          <w:color w:val="auto"/>
          <w:szCs w:val="21"/>
          <w:highlight w:val="none"/>
        </w:rPr>
        <w:t>的具体约定：</w:t>
      </w:r>
      <w:r>
        <w:rPr>
          <w:rFonts w:hint="eastAsia" w:ascii="宋体" w:hAnsi="宋体"/>
          <w:color w:val="auto"/>
          <w:szCs w:val="21"/>
          <w:highlight w:val="none"/>
          <w:u w:val="single"/>
        </w:rPr>
        <w:t>按通用</w:t>
      </w:r>
      <w:r>
        <w:rPr>
          <w:rFonts w:ascii="宋体" w:hAnsi="宋体"/>
          <w:color w:val="auto"/>
          <w:szCs w:val="21"/>
          <w:highlight w:val="none"/>
          <w:u w:val="single"/>
        </w:rPr>
        <w:t>条款</w:t>
      </w:r>
      <w:r>
        <w:rPr>
          <w:rFonts w:hint="eastAsia" w:ascii="宋体" w:hAnsi="宋体"/>
          <w:color w:val="auto"/>
          <w:szCs w:val="21"/>
          <w:highlight w:val="none"/>
        </w:rPr>
        <w:t>。</w:t>
      </w:r>
    </w:p>
    <w:p>
      <w:pPr>
        <w:pStyle w:val="246"/>
        <w:spacing w:after="120"/>
        <w:ind w:firstLine="420"/>
        <w:outlineLvl w:val="9"/>
        <w:rPr>
          <w:b w:val="0"/>
          <w:bCs/>
          <w:color w:val="auto"/>
          <w:sz w:val="21"/>
          <w:szCs w:val="21"/>
          <w:highlight w:val="none"/>
        </w:rPr>
      </w:pPr>
      <w:bookmarkStart w:id="37" w:name="_Toc54862335"/>
      <w:r>
        <w:rPr>
          <w:rFonts w:hint="eastAsia"/>
          <w:b w:val="0"/>
          <w:bCs/>
          <w:color w:val="auto"/>
          <w:sz w:val="21"/>
          <w:szCs w:val="21"/>
          <w:highlight w:val="none"/>
        </w:rPr>
        <w:t>第</w:t>
      </w:r>
      <w:r>
        <w:rPr>
          <w:b w:val="0"/>
          <w:bCs/>
          <w:color w:val="auto"/>
          <w:sz w:val="21"/>
          <w:szCs w:val="21"/>
          <w:highlight w:val="none"/>
        </w:rPr>
        <w:t>4条</w:t>
      </w:r>
      <w:r>
        <w:rPr>
          <w:rFonts w:hint="eastAsia"/>
          <w:b w:val="0"/>
          <w:bCs/>
          <w:color w:val="auto"/>
          <w:sz w:val="21"/>
          <w:szCs w:val="21"/>
          <w:highlight w:val="none"/>
        </w:rPr>
        <w:t xml:space="preserve"> 承包人</w:t>
      </w:r>
      <w:bookmarkEnd w:id="37"/>
    </w:p>
    <w:p>
      <w:pPr>
        <w:spacing w:line="360" w:lineRule="auto"/>
        <w:ind w:firstLine="420"/>
        <w:rPr>
          <w:rFonts w:ascii="宋体" w:hAnsi="宋体"/>
          <w:color w:val="auto"/>
          <w:szCs w:val="21"/>
          <w:highlight w:val="none"/>
        </w:rPr>
      </w:pPr>
      <w:r>
        <w:rPr>
          <w:rFonts w:ascii="宋体" w:hAnsi="宋体"/>
          <w:color w:val="auto"/>
          <w:szCs w:val="21"/>
          <w:highlight w:val="none"/>
        </w:rPr>
        <w:t xml:space="preserve">4.1 </w:t>
      </w:r>
      <w:r>
        <w:rPr>
          <w:rFonts w:hint="eastAsia" w:ascii="宋体" w:hAnsi="宋体"/>
          <w:color w:val="auto"/>
          <w:szCs w:val="21"/>
          <w:highlight w:val="none"/>
        </w:rPr>
        <w:t>承包人的一般义务</w:t>
      </w:r>
    </w:p>
    <w:p>
      <w:pPr>
        <w:spacing w:line="360" w:lineRule="auto"/>
        <w:ind w:firstLine="420"/>
        <w:rPr>
          <w:rFonts w:ascii="宋体" w:hAnsi="宋体"/>
          <w:color w:val="auto"/>
          <w:szCs w:val="21"/>
          <w:highlight w:val="none"/>
        </w:rPr>
      </w:pPr>
      <w:r>
        <w:rPr>
          <w:rFonts w:hint="eastAsia" w:ascii="宋体" w:hAnsi="宋体"/>
          <w:color w:val="auto"/>
          <w:szCs w:val="21"/>
          <w:highlight w:val="none"/>
        </w:rPr>
        <w:t>承包人应履行的其他义务：</w:t>
      </w:r>
      <w:r>
        <w:rPr>
          <w:rFonts w:hint="eastAsia" w:ascii="宋体" w:hAnsi="宋体"/>
          <w:color w:val="auto"/>
          <w:szCs w:val="21"/>
          <w:highlight w:val="none"/>
          <w:u w:val="single"/>
        </w:rPr>
        <w:t>按通用</w:t>
      </w:r>
      <w:r>
        <w:rPr>
          <w:rFonts w:ascii="宋体" w:hAnsi="宋体"/>
          <w:color w:val="auto"/>
          <w:szCs w:val="21"/>
          <w:highlight w:val="none"/>
          <w:u w:val="single"/>
        </w:rPr>
        <w:t>条款</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4.2 </w:t>
      </w:r>
      <w:r>
        <w:rPr>
          <w:rFonts w:hint="eastAsia" w:ascii="宋体" w:hAnsi="宋体"/>
          <w:color w:val="auto"/>
          <w:szCs w:val="21"/>
          <w:highlight w:val="none"/>
        </w:rPr>
        <w:t>履约担保</w:t>
      </w:r>
    </w:p>
    <w:p>
      <w:pPr>
        <w:spacing w:line="360" w:lineRule="auto"/>
        <w:ind w:firstLine="420"/>
        <w:rPr>
          <w:rFonts w:ascii="宋体" w:hAnsi="宋体"/>
          <w:color w:val="auto"/>
          <w:szCs w:val="21"/>
          <w:highlight w:val="none"/>
        </w:rPr>
      </w:pPr>
      <w:r>
        <w:rPr>
          <w:rFonts w:hint="eastAsia" w:ascii="宋体" w:hAnsi="宋体"/>
          <w:color w:val="auto"/>
          <w:szCs w:val="21"/>
          <w:highlight w:val="none"/>
        </w:rPr>
        <w:t>承包人是否提供履约担保：</w:t>
      </w:r>
      <w:r>
        <w:rPr>
          <w:rFonts w:ascii="宋体" w:hAnsi="宋体"/>
          <w:color w:val="auto"/>
          <w:szCs w:val="21"/>
          <w:highlight w:val="none"/>
          <w:u w:val="single"/>
        </w:rPr>
        <w:t xml:space="preserve">      </w:t>
      </w:r>
      <w:r>
        <w:rPr>
          <w:rFonts w:hint="eastAsia" w:ascii="宋体" w:hAnsi="宋体"/>
          <w:color w:val="auto"/>
          <w:szCs w:val="21"/>
          <w:highlight w:val="none"/>
          <w:u w:val="single"/>
        </w:rPr>
        <w:t>是</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履约担保的方式、金额及期限:</w:t>
      </w:r>
      <w:r>
        <w:rPr>
          <w:rFonts w:ascii="宋体" w:hAnsi="宋体"/>
          <w:color w:val="auto"/>
          <w:szCs w:val="21"/>
          <w:highlight w:val="none"/>
          <w:u w:val="single"/>
        </w:rPr>
        <w:t xml:space="preserve">  </w:t>
      </w:r>
      <w:r>
        <w:rPr>
          <w:rFonts w:hint="eastAsia" w:ascii="宋体" w:hAnsi="宋体" w:cs="宋体"/>
          <w:color w:val="auto"/>
          <w:szCs w:val="21"/>
          <w:highlight w:val="none"/>
          <w:u w:val="single"/>
        </w:rPr>
        <w:t>合同签订前以采用银行保函、保险保函、融资担保保函等形式的形式按合同价的</w:t>
      </w:r>
      <w:r>
        <w:rPr>
          <w:rFonts w:ascii="宋体" w:hAnsi="宋体" w:cs="宋体"/>
          <w:color w:val="auto"/>
          <w:szCs w:val="21"/>
          <w:highlight w:val="none"/>
          <w:u w:val="single"/>
        </w:rPr>
        <w:t>2</w:t>
      </w:r>
      <w:r>
        <w:rPr>
          <w:rFonts w:hint="eastAsia" w:ascii="宋体" w:hAnsi="宋体" w:cs="宋体"/>
          <w:color w:val="auto"/>
          <w:szCs w:val="21"/>
          <w:highlight w:val="none"/>
          <w:u w:val="single"/>
        </w:rPr>
        <w:t>%缴纳</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4.3 </w:t>
      </w:r>
      <w:r>
        <w:rPr>
          <w:rFonts w:hint="eastAsia" w:ascii="宋体" w:hAnsi="宋体"/>
          <w:color w:val="auto"/>
          <w:szCs w:val="21"/>
          <w:highlight w:val="none"/>
        </w:rPr>
        <w:t>工程总承包项目经理</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4.3.1 </w:t>
      </w:r>
      <w:r>
        <w:rPr>
          <w:rFonts w:hint="eastAsia" w:ascii="宋体" w:hAnsi="宋体"/>
          <w:color w:val="auto"/>
          <w:szCs w:val="21"/>
          <w:highlight w:val="none"/>
        </w:rPr>
        <w:t>工程总承包项目经理姓名：</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执业资格或职称类型：</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执业资格证或职称证号码：</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联系电话：</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电子邮箱：</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通信地址：</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设计负责人姓名：</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执业资格或职称类型：</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执业资格证或职称证号码：</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联系电话：</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电子邮箱：</w:t>
      </w:r>
      <w:r>
        <w:rPr>
          <w:rFonts w:ascii="宋体" w:hAnsi="宋体"/>
          <w:color w:val="auto"/>
          <w:szCs w:val="21"/>
          <w:highlight w:val="none"/>
          <w:u w:val="single"/>
        </w:rPr>
        <w:t xml:space="preserve">                                         </w:t>
      </w:r>
      <w:r>
        <w:rPr>
          <w:rFonts w:hint="eastAsia" w:ascii="宋体" w:hAnsi="宋体"/>
          <w:color w:val="auto"/>
          <w:szCs w:val="21"/>
          <w:highlight w:val="none"/>
        </w:rPr>
        <w:t>；</w:t>
      </w:r>
    </w:p>
    <w:p>
      <w:pPr>
        <w:pStyle w:val="76"/>
        <w:spacing w:line="360" w:lineRule="auto"/>
        <w:rPr>
          <w:rFonts w:ascii="宋体" w:hAnsi="宋体"/>
          <w:color w:val="auto"/>
          <w:szCs w:val="21"/>
          <w:highlight w:val="none"/>
        </w:rPr>
      </w:pPr>
      <w:r>
        <w:rPr>
          <w:rFonts w:hint="eastAsia" w:ascii="宋体" w:hAnsi="宋体"/>
          <w:color w:val="auto"/>
          <w:szCs w:val="21"/>
          <w:highlight w:val="none"/>
        </w:rPr>
        <w:t>通信地址：</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施工负责人姓名：</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执业资格或职称类型：</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执业资格证或职称证号码：</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联系电话：</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电子邮箱：</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rPr>
          <w:rFonts w:ascii="宋体" w:hAnsi="宋体"/>
          <w:color w:val="auto"/>
          <w:sz w:val="28"/>
          <w:highlight w:val="none"/>
        </w:rPr>
      </w:pPr>
      <w:r>
        <w:rPr>
          <w:rFonts w:hint="eastAsia" w:ascii="宋体" w:hAnsi="宋体"/>
          <w:color w:val="auto"/>
          <w:szCs w:val="21"/>
          <w:highlight w:val="none"/>
        </w:rPr>
        <w:t>通信地址：</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承包人未提交劳动合同，以及没有为工程总承包项目经理缴纳社会保险证明的违约责任：</w:t>
      </w:r>
      <w:r>
        <w:rPr>
          <w:rFonts w:ascii="宋体" w:hAnsi="宋体"/>
          <w:color w:val="auto"/>
          <w:szCs w:val="21"/>
          <w:highlight w:val="none"/>
          <w:u w:val="single"/>
        </w:rPr>
        <w:t>承包人不提交上述文件的，项目经理无权履行职责，发包人有权要求更换项目经理，由此增加的费用和（或）延误的工期由承包人承担</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4.3.2 </w:t>
      </w:r>
      <w:r>
        <w:rPr>
          <w:rFonts w:hint="eastAsia" w:ascii="宋体" w:hAnsi="宋体"/>
          <w:color w:val="auto"/>
          <w:szCs w:val="21"/>
          <w:highlight w:val="none"/>
        </w:rPr>
        <w:t>工程总承包项目经理每月在现场的时间要求：</w:t>
      </w:r>
      <w:r>
        <w:rPr>
          <w:rFonts w:hint="eastAsia" w:ascii="宋体" w:hAnsi="宋体"/>
          <w:color w:val="auto"/>
          <w:szCs w:val="21"/>
          <w:highlight w:val="none"/>
          <w:u w:val="single"/>
        </w:rPr>
        <w:t>施工前、中、后关键节点需到现场，关键节点是指但不限于施工前方案评审、设计和安全技术交底、施工中中交验收和竣工验收、施工结束后的联合调试等（下同</w:t>
      </w:r>
      <w:r>
        <w:rPr>
          <w:rFonts w:ascii="宋体" w:hAnsi="宋体"/>
          <w:color w:val="auto"/>
          <w:szCs w:val="21"/>
          <w:highlight w:val="none"/>
          <w:u w:val="single"/>
        </w:rPr>
        <w:t>）</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工程总承包项目经理未经批准擅自离开施工现场的违约责任：</w:t>
      </w:r>
      <w:r>
        <w:rPr>
          <w:rFonts w:ascii="宋体" w:hAnsi="宋体"/>
          <w:color w:val="auto"/>
          <w:szCs w:val="21"/>
          <w:highlight w:val="none"/>
          <w:u w:val="single"/>
        </w:rPr>
        <w:t xml:space="preserve"> </w:t>
      </w:r>
      <w:r>
        <w:rPr>
          <w:rFonts w:hint="eastAsia" w:ascii="宋体" w:hAnsi="宋体"/>
          <w:color w:val="auto"/>
          <w:szCs w:val="21"/>
          <w:highlight w:val="none"/>
          <w:u w:val="single"/>
        </w:rPr>
        <w:t>工程总承包项目经理施工前、中、后关键节点不到现场的两次及以上的，视为严重</w:t>
      </w:r>
      <w:r>
        <w:rPr>
          <w:rFonts w:ascii="宋体" w:hAnsi="宋体"/>
          <w:color w:val="auto"/>
          <w:szCs w:val="21"/>
          <w:highlight w:val="none"/>
          <w:u w:val="single"/>
        </w:rPr>
        <w:t>不履行合同</w:t>
      </w:r>
      <w:r>
        <w:rPr>
          <w:rFonts w:hint="eastAsia" w:ascii="宋体" w:hAnsi="宋体"/>
          <w:color w:val="auto"/>
          <w:szCs w:val="21"/>
          <w:highlight w:val="none"/>
          <w:u w:val="single"/>
        </w:rPr>
        <w:t>，发包人可更换项目经理并对承包人处以人民币1万元的罚金，承包人承担</w:t>
      </w:r>
      <w:r>
        <w:rPr>
          <w:rFonts w:ascii="宋体" w:hAnsi="宋体"/>
          <w:color w:val="auto"/>
          <w:szCs w:val="21"/>
          <w:highlight w:val="none"/>
          <w:u w:val="single"/>
        </w:rPr>
        <w:t>由此增加的费用和（或）延误的工期</w:t>
      </w:r>
      <w:r>
        <w:rPr>
          <w:rFonts w:hint="eastAsia" w:ascii="宋体" w:hAnsi="宋体"/>
          <w:color w:val="auto"/>
          <w:szCs w:val="21"/>
          <w:highlight w:val="none"/>
        </w:rPr>
        <w:t>。</w:t>
      </w:r>
    </w:p>
    <w:p>
      <w:pPr>
        <w:spacing w:line="360" w:lineRule="auto"/>
        <w:ind w:firstLine="420"/>
        <w:rPr>
          <w:rFonts w:ascii="宋体" w:hAnsi="宋体"/>
          <w:color w:val="auto"/>
          <w:szCs w:val="21"/>
          <w:highlight w:val="none"/>
          <w:u w:val="single"/>
        </w:rPr>
      </w:pPr>
      <w:r>
        <w:rPr>
          <w:rFonts w:ascii="宋体" w:hAnsi="宋体"/>
          <w:color w:val="auto"/>
          <w:szCs w:val="21"/>
          <w:highlight w:val="none"/>
        </w:rPr>
        <w:t xml:space="preserve">4.3.3 </w:t>
      </w:r>
      <w:r>
        <w:rPr>
          <w:rFonts w:hint="eastAsia" w:ascii="宋体" w:hAnsi="宋体"/>
          <w:color w:val="auto"/>
          <w:szCs w:val="21"/>
          <w:highlight w:val="none"/>
        </w:rPr>
        <w:t>承包人对工程总承包项目经理的授权范围:</w:t>
      </w:r>
      <w:r>
        <w:rPr>
          <w:rFonts w:hint="eastAsia" w:ascii="宋体" w:hAnsi="宋体"/>
          <w:color w:val="auto"/>
          <w:szCs w:val="21"/>
          <w:highlight w:val="none"/>
          <w:u w:val="single"/>
        </w:rPr>
        <w:t>授予项目经理在紧急情况下的临时处置权，但应受到以下四个方面的限制</w:t>
      </w:r>
      <w:r>
        <w:rPr>
          <w:rFonts w:hint="eastAsia" w:ascii="宋体" w:hAnsi="宋体"/>
          <w:color w:val="auto"/>
          <w:szCs w:val="21"/>
          <w:highlight w:val="none"/>
        </w:rPr>
        <w:t>。</w:t>
      </w:r>
    </w:p>
    <w:p>
      <w:pPr>
        <w:spacing w:line="360" w:lineRule="auto"/>
        <w:ind w:firstLine="420"/>
        <w:rPr>
          <w:rFonts w:ascii="宋体" w:hAnsi="宋体"/>
          <w:color w:val="auto"/>
          <w:szCs w:val="21"/>
          <w:highlight w:val="none"/>
          <w:u w:val="single"/>
        </w:rPr>
      </w:pPr>
      <w:r>
        <w:rPr>
          <w:rFonts w:hint="eastAsia" w:ascii="宋体" w:hAnsi="宋体"/>
          <w:color w:val="auto"/>
          <w:szCs w:val="21"/>
          <w:highlight w:val="none"/>
        </w:rPr>
        <w:t>（1）</w:t>
      </w:r>
      <w:r>
        <w:rPr>
          <w:rFonts w:hint="eastAsia" w:ascii="宋体" w:hAnsi="宋体"/>
          <w:color w:val="auto"/>
          <w:szCs w:val="21"/>
          <w:highlight w:val="none"/>
          <w:u w:val="single"/>
        </w:rPr>
        <w:t>只有在涉及工程及工程有关的人身和财产安全的情况下项目经理才能行使该项权力</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项目经理只有在同时无法联系到发包人代表或总监理工程师的情况下才能行使该项权力</w:t>
      </w:r>
      <w:r>
        <w:rPr>
          <w:rFonts w:hint="eastAsia" w:ascii="宋体" w:hAnsi="宋体"/>
          <w:color w:val="auto"/>
          <w:szCs w:val="21"/>
          <w:highlight w:val="none"/>
        </w:rPr>
        <w:t>；</w:t>
      </w:r>
    </w:p>
    <w:p>
      <w:pPr>
        <w:spacing w:line="360" w:lineRule="auto"/>
        <w:ind w:firstLine="420"/>
        <w:rPr>
          <w:rFonts w:ascii="宋体" w:hAnsi="宋体"/>
          <w:color w:val="auto"/>
          <w:szCs w:val="21"/>
          <w:highlight w:val="none"/>
          <w:u w:val="single"/>
        </w:rPr>
      </w:pPr>
      <w:r>
        <w:rPr>
          <w:rFonts w:hint="eastAsia" w:ascii="宋体" w:hAnsi="宋体"/>
          <w:color w:val="auto"/>
          <w:szCs w:val="21"/>
          <w:highlight w:val="none"/>
        </w:rPr>
        <w:t>（3）</w:t>
      </w:r>
      <w:r>
        <w:rPr>
          <w:rFonts w:hint="eastAsia" w:ascii="宋体" w:hAnsi="宋体"/>
          <w:color w:val="auto"/>
          <w:szCs w:val="21"/>
          <w:highlight w:val="none"/>
          <w:u w:val="single"/>
        </w:rPr>
        <w:t>项目经理行使该项权力所采取的措施必要合理得当，而不能随意采取不必要的措施</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u w:val="single"/>
        </w:rPr>
        <w:t>项目经理在采取措施后及时向监理人和发包人代表报告全部情况。如果项目经理行使临时处置权不符合四项中的任何一项，发包人可以主张由承包人承担因项目经理行使临时处置权而增加的费用或延误的工期责任</w:t>
      </w:r>
      <w:r>
        <w:rPr>
          <w:rFonts w:hint="eastAsia" w:ascii="宋体" w:hAnsi="宋体"/>
          <w:color w:val="auto"/>
          <w:szCs w:val="21"/>
          <w:highlight w:val="none"/>
        </w:rPr>
        <w:t>。</w:t>
      </w:r>
      <w:r>
        <w:rPr>
          <w:rFonts w:ascii="宋体" w:hAnsi="宋体"/>
          <w:color w:val="auto"/>
          <w:szCs w:val="21"/>
          <w:highlight w:val="none"/>
        </w:rPr>
        <w:t xml:space="preserve"> </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4.3.4 </w:t>
      </w:r>
      <w:r>
        <w:rPr>
          <w:rFonts w:hint="eastAsia" w:ascii="宋体" w:hAnsi="宋体"/>
          <w:color w:val="auto"/>
          <w:szCs w:val="21"/>
          <w:highlight w:val="none"/>
        </w:rPr>
        <w:t>承包人</w:t>
      </w:r>
      <w:r>
        <w:rPr>
          <w:rFonts w:ascii="宋体" w:hAnsi="宋体"/>
          <w:color w:val="auto"/>
          <w:szCs w:val="21"/>
          <w:highlight w:val="none"/>
        </w:rPr>
        <w:t>擅自更换工程总承包项目经理的违约</w:t>
      </w:r>
      <w:r>
        <w:rPr>
          <w:rFonts w:hint="eastAsia" w:ascii="宋体" w:hAnsi="宋体"/>
          <w:color w:val="auto"/>
          <w:szCs w:val="21"/>
          <w:highlight w:val="none"/>
        </w:rPr>
        <w:t>责任：</w:t>
      </w:r>
      <w:r>
        <w:rPr>
          <w:rFonts w:ascii="宋体" w:hAnsi="宋体"/>
          <w:color w:val="auto"/>
          <w:szCs w:val="21"/>
          <w:highlight w:val="none"/>
          <w:u w:val="single"/>
        </w:rPr>
        <w:t xml:space="preserve"> </w:t>
      </w:r>
      <w:r>
        <w:rPr>
          <w:rFonts w:hint="eastAsia" w:ascii="宋体" w:hAnsi="宋体"/>
          <w:color w:val="auto"/>
          <w:szCs w:val="21"/>
          <w:highlight w:val="none"/>
          <w:u w:val="single"/>
        </w:rPr>
        <w:t>处以人民币2万元的罚金并承担</w:t>
      </w:r>
      <w:r>
        <w:rPr>
          <w:rFonts w:ascii="宋体" w:hAnsi="宋体"/>
          <w:color w:val="auto"/>
          <w:szCs w:val="21"/>
          <w:highlight w:val="none"/>
          <w:u w:val="single"/>
        </w:rPr>
        <w:t>由此增加的费用和（或）延误的工期</w:t>
      </w:r>
      <w:r>
        <w:rPr>
          <w:rFonts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4.3.5 承包人无正当理由拒绝更换工程总承包项目经理的违约责任</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处以人民币2万元的罚金并承担</w:t>
      </w:r>
      <w:r>
        <w:rPr>
          <w:rFonts w:ascii="宋体" w:hAnsi="宋体"/>
          <w:color w:val="auto"/>
          <w:szCs w:val="21"/>
          <w:highlight w:val="none"/>
          <w:u w:val="single"/>
        </w:rPr>
        <w:t>由此增加的费用和（或）延误的工期</w:t>
      </w:r>
      <w:r>
        <w:rPr>
          <w:rFonts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4.4 </w:t>
      </w:r>
      <w:r>
        <w:rPr>
          <w:rFonts w:hint="eastAsia" w:ascii="宋体" w:hAnsi="宋体"/>
          <w:color w:val="auto"/>
          <w:szCs w:val="21"/>
          <w:highlight w:val="none"/>
        </w:rPr>
        <w:t>承包人人员</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4.4.1 </w:t>
      </w:r>
      <w:r>
        <w:rPr>
          <w:rFonts w:hint="eastAsia" w:ascii="宋体" w:hAnsi="宋体"/>
          <w:color w:val="auto"/>
          <w:szCs w:val="21"/>
          <w:highlight w:val="none"/>
        </w:rPr>
        <w:t>人员安排</w:t>
      </w:r>
    </w:p>
    <w:p>
      <w:pPr>
        <w:spacing w:line="360" w:lineRule="auto"/>
        <w:ind w:firstLine="420"/>
        <w:rPr>
          <w:rFonts w:ascii="宋体" w:hAnsi="宋体"/>
          <w:color w:val="auto"/>
          <w:szCs w:val="21"/>
          <w:highlight w:val="none"/>
        </w:rPr>
      </w:pPr>
      <w:r>
        <w:rPr>
          <w:rFonts w:ascii="宋体" w:hAnsi="宋体"/>
          <w:color w:val="auto"/>
          <w:szCs w:val="21"/>
          <w:highlight w:val="none"/>
        </w:rPr>
        <w:t>承包人</w:t>
      </w:r>
      <w:r>
        <w:rPr>
          <w:rFonts w:hint="eastAsia" w:ascii="宋体" w:hAnsi="宋体"/>
          <w:color w:val="auto"/>
          <w:szCs w:val="21"/>
          <w:highlight w:val="none"/>
        </w:rPr>
        <w:t>提交</w:t>
      </w:r>
      <w:r>
        <w:rPr>
          <w:rFonts w:ascii="宋体" w:hAnsi="宋体"/>
          <w:color w:val="auto"/>
          <w:szCs w:val="21"/>
          <w:highlight w:val="none"/>
        </w:rPr>
        <w:t>项目管理机构及施工现场人员安排的报告</w:t>
      </w:r>
      <w:r>
        <w:rPr>
          <w:rFonts w:hint="eastAsia" w:ascii="宋体" w:hAnsi="宋体"/>
          <w:color w:val="auto"/>
          <w:szCs w:val="21"/>
          <w:highlight w:val="none"/>
        </w:rPr>
        <w:t>的期限：</w:t>
      </w:r>
      <w:r>
        <w:rPr>
          <w:rFonts w:hint="eastAsia" w:ascii="宋体" w:hAnsi="宋体"/>
          <w:color w:val="auto"/>
          <w:szCs w:val="21"/>
          <w:highlight w:val="none"/>
          <w:u w:val="single"/>
        </w:rPr>
        <w:t>按通用条款</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承包人提交关键人员信息及注册执业资格等证明其具备担任关键人员能力的相关文件的期限：</w:t>
      </w:r>
      <w:r>
        <w:rPr>
          <w:rFonts w:hint="eastAsia" w:ascii="宋体" w:hAnsi="宋体"/>
          <w:color w:val="auto"/>
          <w:szCs w:val="21"/>
          <w:highlight w:val="none"/>
          <w:u w:val="single"/>
        </w:rPr>
        <w:t>按通用条款</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4.4.2 </w:t>
      </w:r>
      <w:r>
        <w:rPr>
          <w:rFonts w:hint="eastAsia" w:ascii="宋体" w:hAnsi="宋体"/>
          <w:color w:val="auto"/>
          <w:szCs w:val="21"/>
          <w:highlight w:val="none"/>
        </w:rPr>
        <w:t>关键人员更换</w:t>
      </w:r>
    </w:p>
    <w:p>
      <w:pPr>
        <w:pStyle w:val="76"/>
        <w:spacing w:line="360" w:lineRule="auto"/>
        <w:rPr>
          <w:rFonts w:asciiTheme="majorEastAsia" w:hAnsiTheme="majorEastAsia" w:eastAsiaTheme="majorEastAsia"/>
          <w:color w:val="auto"/>
          <w:sz w:val="28"/>
          <w:highlight w:val="none"/>
        </w:rPr>
      </w:pPr>
      <w:r>
        <w:rPr>
          <w:rFonts w:asciiTheme="majorEastAsia" w:hAnsiTheme="majorEastAsia" w:eastAsiaTheme="majorEastAsia"/>
          <w:color w:val="auto"/>
          <w:szCs w:val="21"/>
          <w:highlight w:val="none"/>
        </w:rPr>
        <w:t>承包人擅自更换</w:t>
      </w:r>
      <w:r>
        <w:rPr>
          <w:rFonts w:hint="eastAsia" w:cs="宋体" w:asciiTheme="majorEastAsia" w:hAnsiTheme="majorEastAsia" w:eastAsiaTheme="majorEastAsia"/>
          <w:color w:val="auto"/>
          <w:highlight w:val="none"/>
        </w:rPr>
        <w:t>设计负责人、施工负责人</w:t>
      </w:r>
      <w:r>
        <w:rPr>
          <w:rFonts w:asciiTheme="majorEastAsia" w:hAnsiTheme="majorEastAsia" w:eastAsiaTheme="majorEastAsia"/>
          <w:color w:val="auto"/>
          <w:szCs w:val="21"/>
          <w:highlight w:val="none"/>
        </w:rPr>
        <w:t>的违约责任：</w:t>
      </w:r>
      <w:r>
        <w:rPr>
          <w:rFonts w:hint="eastAsia" w:asciiTheme="majorEastAsia" w:hAnsiTheme="majorEastAsia" w:eastAsiaTheme="majorEastAsia"/>
          <w:color w:val="auto"/>
          <w:szCs w:val="21"/>
          <w:highlight w:val="none"/>
          <w:u w:val="single"/>
        </w:rPr>
        <w:t>按每人次人民币1万元处以罚金并承担</w:t>
      </w:r>
      <w:r>
        <w:rPr>
          <w:rFonts w:asciiTheme="majorEastAsia" w:hAnsiTheme="majorEastAsia" w:eastAsiaTheme="majorEastAsia"/>
          <w:color w:val="auto"/>
          <w:szCs w:val="21"/>
          <w:highlight w:val="none"/>
          <w:u w:val="single"/>
        </w:rPr>
        <w:t xml:space="preserve">由此增加的费用和（或）延误的工期 </w:t>
      </w:r>
      <w:r>
        <w:rPr>
          <w:rFonts w:hint="eastAsia" w:asciiTheme="majorEastAsia" w:hAnsiTheme="majorEastAsia" w:eastAsiaTheme="majorEastAsia"/>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承包人擅自更换</w:t>
      </w:r>
      <w:r>
        <w:rPr>
          <w:rFonts w:hint="eastAsia" w:ascii="宋体" w:hAnsi="宋体"/>
          <w:color w:val="auto"/>
          <w:szCs w:val="21"/>
          <w:highlight w:val="none"/>
        </w:rPr>
        <w:t>施工员、质量员、安全员、材料员、资料员等</w:t>
      </w:r>
      <w:r>
        <w:rPr>
          <w:rFonts w:ascii="宋体" w:hAnsi="宋体"/>
          <w:color w:val="auto"/>
          <w:szCs w:val="21"/>
          <w:highlight w:val="none"/>
        </w:rPr>
        <w:t>的违约责任：</w:t>
      </w:r>
      <w:r>
        <w:rPr>
          <w:rFonts w:hint="eastAsia" w:ascii="宋体" w:hAnsi="宋体"/>
          <w:color w:val="auto"/>
          <w:szCs w:val="21"/>
          <w:highlight w:val="none"/>
          <w:u w:val="single"/>
        </w:rPr>
        <w:t>按每人次人民币0.5万元处以罚金并承担</w:t>
      </w:r>
      <w:r>
        <w:rPr>
          <w:rFonts w:ascii="宋体" w:hAnsi="宋体"/>
          <w:color w:val="auto"/>
          <w:szCs w:val="21"/>
          <w:highlight w:val="none"/>
          <w:u w:val="single"/>
        </w:rPr>
        <w:t>由此增加的费用和（或）延误的工期</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承包人无正当理由拒绝撤换</w:t>
      </w:r>
      <w:r>
        <w:rPr>
          <w:rFonts w:hint="eastAsia" w:ascii="宋体" w:hAnsi="宋体"/>
          <w:color w:val="auto"/>
          <w:szCs w:val="21"/>
          <w:highlight w:val="none"/>
        </w:rPr>
        <w:t>施工员、质量员、安全员、材料员、资料员等</w:t>
      </w:r>
      <w:r>
        <w:rPr>
          <w:rFonts w:ascii="宋体" w:hAnsi="宋体"/>
          <w:color w:val="auto"/>
          <w:szCs w:val="21"/>
          <w:highlight w:val="none"/>
        </w:rPr>
        <w:t>的违约责任：</w:t>
      </w:r>
      <w:r>
        <w:rPr>
          <w:rFonts w:hint="eastAsia" w:ascii="宋体" w:hAnsi="宋体"/>
          <w:color w:val="auto"/>
          <w:szCs w:val="21"/>
          <w:highlight w:val="none"/>
          <w:u w:val="single"/>
        </w:rPr>
        <w:t>按每人次人民币1万元处以罚金并承担</w:t>
      </w:r>
      <w:r>
        <w:rPr>
          <w:rFonts w:ascii="宋体" w:hAnsi="宋体"/>
          <w:color w:val="auto"/>
          <w:szCs w:val="21"/>
          <w:highlight w:val="none"/>
          <w:u w:val="single"/>
        </w:rPr>
        <w:t>由此增加的费用和（或）延误的工期</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4.4.3 </w:t>
      </w:r>
      <w:r>
        <w:rPr>
          <w:rFonts w:hint="eastAsia" w:ascii="宋体" w:hAnsi="宋体"/>
          <w:color w:val="auto"/>
          <w:szCs w:val="21"/>
          <w:highlight w:val="none"/>
        </w:rPr>
        <w:t>现场管理关键人员在岗要求</w:t>
      </w:r>
    </w:p>
    <w:p>
      <w:pPr>
        <w:spacing w:line="360" w:lineRule="auto"/>
        <w:ind w:firstLine="420"/>
        <w:rPr>
          <w:rFonts w:ascii="宋体" w:hAnsi="宋体"/>
          <w:color w:val="auto"/>
          <w:szCs w:val="21"/>
          <w:highlight w:val="none"/>
        </w:rPr>
      </w:pPr>
      <w:r>
        <w:rPr>
          <w:rFonts w:ascii="宋体" w:hAnsi="宋体"/>
          <w:color w:val="auto"/>
          <w:szCs w:val="21"/>
          <w:highlight w:val="none"/>
        </w:rPr>
        <w:t>承包人</w:t>
      </w:r>
      <w:r>
        <w:rPr>
          <w:rFonts w:hint="eastAsia" w:ascii="宋体" w:hAnsi="宋体"/>
          <w:color w:val="auto"/>
          <w:szCs w:val="21"/>
          <w:highlight w:val="none"/>
        </w:rPr>
        <w:t>现场管理关键</w:t>
      </w:r>
      <w:r>
        <w:rPr>
          <w:rFonts w:ascii="宋体" w:hAnsi="宋体"/>
          <w:color w:val="auto"/>
          <w:szCs w:val="21"/>
          <w:highlight w:val="none"/>
        </w:rPr>
        <w:t>人员离开施工现场的批准要求</w:t>
      </w:r>
      <w:r>
        <w:rPr>
          <w:rFonts w:hint="eastAsia" w:ascii="宋体" w:hAnsi="宋体"/>
          <w:color w:val="auto"/>
          <w:szCs w:val="21"/>
          <w:highlight w:val="none"/>
        </w:rPr>
        <w:t>：</w:t>
      </w:r>
      <w:r>
        <w:rPr>
          <w:rFonts w:hint="eastAsia" w:ascii="宋体" w:hAnsi="宋体"/>
          <w:color w:val="auto"/>
          <w:szCs w:val="21"/>
          <w:highlight w:val="none"/>
          <w:u w:val="single"/>
        </w:rPr>
        <w:t>须由总监理工程师签字确认，并报发包人</w:t>
      </w:r>
      <w:r>
        <w:rPr>
          <w:rFonts w:hint="eastAsia" w:ascii="宋体" w:hAnsi="宋体"/>
          <w:color w:val="auto"/>
          <w:szCs w:val="21"/>
          <w:highlight w:val="none"/>
        </w:rPr>
        <w:t>。</w:t>
      </w:r>
    </w:p>
    <w:p>
      <w:pPr>
        <w:pStyle w:val="76"/>
        <w:spacing w:line="360" w:lineRule="auto"/>
        <w:ind w:firstLine="0" w:firstLineChars="0"/>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承包人现场管理关键人员擅自离开施工现场的违约责任：</w:t>
      </w:r>
      <w:r>
        <w:rPr>
          <w:rFonts w:hint="eastAsia" w:ascii="宋体" w:hAnsi="宋体" w:eastAsia="宋体" w:cs="Times New Roman"/>
          <w:color w:val="auto"/>
          <w:szCs w:val="21"/>
          <w:highlight w:val="none"/>
          <w:u w:val="single"/>
        </w:rPr>
        <w:t>设计负责人、施工负责人施工前、中、后关键节点不到现场，以违约论，按每人每次</w:t>
      </w:r>
      <w:r>
        <w:rPr>
          <w:rFonts w:ascii="宋体" w:hAnsi="宋体" w:eastAsia="宋体" w:cs="Times New Roman"/>
          <w:color w:val="auto"/>
          <w:szCs w:val="21"/>
          <w:highlight w:val="none"/>
          <w:u w:val="single"/>
        </w:rPr>
        <w:t>1</w:t>
      </w:r>
      <w:r>
        <w:rPr>
          <w:rFonts w:hint="eastAsia" w:ascii="宋体" w:hAnsi="宋体" w:eastAsia="宋体" w:cs="Times New Roman"/>
          <w:color w:val="auto"/>
          <w:szCs w:val="21"/>
          <w:highlight w:val="none"/>
          <w:u w:val="single"/>
        </w:rPr>
        <w:t>000元支付违约金</w:t>
      </w:r>
      <w:r>
        <w:rPr>
          <w:rFonts w:ascii="宋体" w:hAnsi="宋体" w:eastAsia="宋体" w:cs="Times New Roman"/>
          <w:color w:val="auto"/>
          <w:szCs w:val="21"/>
          <w:highlight w:val="none"/>
          <w:u w:val="singl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承包人现场管理关键人员擅自离开施工现场的违约责任：</w:t>
      </w:r>
      <w:r>
        <w:rPr>
          <w:rFonts w:hint="eastAsia" w:ascii="宋体" w:hAnsi="宋体"/>
          <w:color w:val="auto"/>
          <w:szCs w:val="21"/>
          <w:highlight w:val="none"/>
          <w:u w:val="single"/>
        </w:rPr>
        <w:t>施工员、质量员、安全员、材料员、资料员等</w:t>
      </w:r>
      <w:r>
        <w:rPr>
          <w:rFonts w:hint="eastAsia" w:ascii="宋体" w:hAnsi="宋体" w:cs="宋体"/>
          <w:color w:val="auto"/>
          <w:highlight w:val="none"/>
          <w:u w:val="single"/>
        </w:rPr>
        <w:t>施工前、中、后关键节点不到现场</w:t>
      </w:r>
      <w:r>
        <w:rPr>
          <w:rFonts w:hint="eastAsia" w:ascii="宋体" w:hAnsi="宋体"/>
          <w:color w:val="auto"/>
          <w:szCs w:val="21"/>
          <w:highlight w:val="none"/>
          <w:u w:val="single"/>
        </w:rPr>
        <w:t>，以违约论，按每人每次1000元支付违约金</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4.5 </w:t>
      </w:r>
      <w:r>
        <w:rPr>
          <w:rFonts w:hint="eastAsia" w:ascii="宋体" w:hAnsi="宋体"/>
          <w:color w:val="auto"/>
          <w:szCs w:val="21"/>
          <w:highlight w:val="none"/>
        </w:rPr>
        <w:t>分包</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4.5.1 </w:t>
      </w:r>
      <w:r>
        <w:rPr>
          <w:rFonts w:hint="eastAsia" w:ascii="宋体" w:hAnsi="宋体"/>
          <w:color w:val="auto"/>
          <w:szCs w:val="21"/>
          <w:highlight w:val="none"/>
        </w:rPr>
        <w:t>一般约定</w:t>
      </w:r>
    </w:p>
    <w:p>
      <w:pPr>
        <w:spacing w:line="360" w:lineRule="auto"/>
        <w:ind w:firstLine="420"/>
        <w:rPr>
          <w:rFonts w:ascii="宋体" w:hAnsi="宋体"/>
          <w:color w:val="auto"/>
          <w:szCs w:val="21"/>
          <w:highlight w:val="none"/>
        </w:rPr>
      </w:pPr>
      <w:r>
        <w:rPr>
          <w:rFonts w:ascii="宋体" w:hAnsi="宋体"/>
          <w:color w:val="auto"/>
          <w:szCs w:val="21"/>
          <w:highlight w:val="none"/>
        </w:rPr>
        <w:t>禁止分包的工程包括：</w:t>
      </w:r>
      <w:r>
        <w:rPr>
          <w:rFonts w:hint="eastAsia" w:ascii="宋体" w:hAnsi="宋体"/>
          <w:color w:val="auto"/>
          <w:szCs w:val="21"/>
          <w:highlight w:val="none"/>
          <w:u w:val="single"/>
        </w:rPr>
        <w:t>合同工程</w:t>
      </w:r>
      <w:r>
        <w:rPr>
          <w:rFonts w:ascii="宋体" w:hAnsi="宋体"/>
          <w:color w:val="auto"/>
          <w:szCs w:val="21"/>
          <w:highlight w:val="none"/>
          <w:u w:val="single"/>
        </w:rPr>
        <w:t>主体结构、关键性工作</w:t>
      </w:r>
      <w:r>
        <w:rPr>
          <w:rFonts w:hint="eastAsia" w:ascii="宋体" w:hAnsi="宋体"/>
          <w:color w:val="auto"/>
          <w:szCs w:val="21"/>
          <w:highlight w:val="none"/>
          <w:u w:val="single"/>
        </w:rPr>
        <w:t>不得分包</w:t>
      </w:r>
      <w:r>
        <w:rPr>
          <w:rFonts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4.5.2 </w:t>
      </w:r>
      <w:r>
        <w:rPr>
          <w:rFonts w:hint="eastAsia" w:ascii="宋体" w:hAnsi="宋体"/>
          <w:color w:val="auto"/>
          <w:szCs w:val="21"/>
          <w:highlight w:val="none"/>
        </w:rPr>
        <w:t>分包的确定</w:t>
      </w:r>
    </w:p>
    <w:p>
      <w:pPr>
        <w:spacing w:line="360" w:lineRule="auto"/>
        <w:ind w:firstLine="420"/>
        <w:rPr>
          <w:rFonts w:ascii="宋体" w:hAnsi="宋体"/>
          <w:color w:val="auto"/>
          <w:szCs w:val="21"/>
          <w:highlight w:val="none"/>
        </w:rPr>
      </w:pPr>
      <w:r>
        <w:rPr>
          <w:rFonts w:ascii="宋体" w:hAnsi="宋体"/>
          <w:color w:val="auto"/>
          <w:szCs w:val="21"/>
          <w:highlight w:val="none"/>
        </w:rPr>
        <w:t>允许分包的工程包括：</w:t>
      </w:r>
      <w:r>
        <w:rPr>
          <w:rFonts w:hint="eastAsia" w:ascii="宋体" w:hAnsi="宋体"/>
          <w:color w:val="auto"/>
          <w:szCs w:val="21"/>
          <w:highlight w:val="none"/>
          <w:u w:val="single"/>
        </w:rPr>
        <w:t>按通用条款</w:t>
      </w:r>
      <w:r>
        <w:rPr>
          <w:rFonts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其他关于分包的约定：</w:t>
      </w:r>
      <w:r>
        <w:rPr>
          <w:rFonts w:hint="eastAsia" w:ascii="宋体" w:hAnsi="宋体"/>
          <w:color w:val="auto"/>
          <w:szCs w:val="21"/>
          <w:highlight w:val="none"/>
          <w:u w:val="single"/>
        </w:rPr>
        <w:t>不允许分包</w:t>
      </w:r>
      <w:r>
        <w:rPr>
          <w:rFonts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4.5.5 </w:t>
      </w:r>
      <w:r>
        <w:rPr>
          <w:rFonts w:hint="eastAsia" w:ascii="宋体" w:hAnsi="宋体"/>
          <w:color w:val="auto"/>
          <w:szCs w:val="21"/>
          <w:highlight w:val="none"/>
        </w:rPr>
        <w:t>分包合同价款支付</w:t>
      </w:r>
    </w:p>
    <w:p>
      <w:pPr>
        <w:spacing w:line="360" w:lineRule="auto"/>
        <w:ind w:firstLine="420"/>
        <w:rPr>
          <w:rFonts w:ascii="宋体" w:hAnsi="宋体"/>
          <w:color w:val="auto"/>
          <w:szCs w:val="21"/>
          <w:highlight w:val="none"/>
        </w:rPr>
      </w:pPr>
      <w:r>
        <w:rPr>
          <w:rFonts w:hint="eastAsia" w:ascii="宋体" w:hAnsi="宋体"/>
          <w:color w:val="auto"/>
          <w:szCs w:val="21"/>
          <w:highlight w:val="none"/>
        </w:rPr>
        <w:t>关于分包合同价款支付的约定：</w:t>
      </w:r>
      <w:r>
        <w:rPr>
          <w:rFonts w:hint="eastAsia" w:ascii="宋体" w:hAnsi="宋体"/>
          <w:color w:val="auto"/>
          <w:szCs w:val="21"/>
          <w:highlight w:val="none"/>
          <w:u w:val="single"/>
        </w:rPr>
        <w:t>按通用条款</w:t>
      </w:r>
      <w:r>
        <w:rPr>
          <w:rFonts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4.6</w:t>
      </w:r>
      <w:r>
        <w:rPr>
          <w:rFonts w:hint="eastAsia" w:ascii="宋体" w:hAnsi="宋体"/>
          <w:color w:val="auto"/>
          <w:szCs w:val="21"/>
          <w:highlight w:val="none"/>
        </w:rPr>
        <w:t xml:space="preserve"> </w:t>
      </w:r>
      <w:r>
        <w:rPr>
          <w:rFonts w:ascii="宋体" w:hAnsi="宋体"/>
          <w:color w:val="auto"/>
          <w:szCs w:val="21"/>
          <w:highlight w:val="none"/>
        </w:rPr>
        <w:t>履约担保</w:t>
      </w:r>
    </w:p>
    <w:p>
      <w:pPr>
        <w:spacing w:line="360" w:lineRule="auto"/>
        <w:ind w:firstLine="42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.6.</w:t>
      </w:r>
      <w:r>
        <w:rPr>
          <w:rFonts w:hint="eastAsia" w:ascii="宋体" w:hAnsi="宋体"/>
          <w:color w:val="auto"/>
          <w:szCs w:val="21"/>
          <w:highlight w:val="none"/>
        </w:rPr>
        <w:t>承包人是否提供履约担保：承包人提供履约担保 。</w:t>
      </w:r>
    </w:p>
    <w:p>
      <w:pPr>
        <w:spacing w:line="360" w:lineRule="auto"/>
        <w:ind w:firstLine="420"/>
        <w:rPr>
          <w:rFonts w:ascii="宋体" w:hAnsi="宋体"/>
          <w:color w:val="auto"/>
          <w:szCs w:val="21"/>
          <w:highlight w:val="none"/>
        </w:rPr>
      </w:pPr>
      <w:r>
        <w:rPr>
          <w:rFonts w:hint="eastAsia" w:ascii="宋体" w:hAnsi="宋体"/>
          <w:color w:val="auto"/>
          <w:szCs w:val="21"/>
          <w:highlight w:val="none"/>
        </w:rPr>
        <w:t>承包人提供履约担保的形式、金额及期限：</w:t>
      </w:r>
    </w:p>
    <w:p>
      <w:pPr>
        <w:spacing w:line="360" w:lineRule="auto"/>
        <w:ind w:firstLine="420"/>
        <w:rPr>
          <w:rFonts w:ascii="宋体" w:hAnsi="宋体"/>
          <w:color w:val="auto"/>
          <w:szCs w:val="21"/>
          <w:highlight w:val="none"/>
        </w:rPr>
      </w:pPr>
      <w:r>
        <w:rPr>
          <w:rFonts w:hint="eastAsia" w:ascii="宋体" w:hAnsi="宋体"/>
          <w:color w:val="auto"/>
          <w:szCs w:val="21"/>
          <w:highlight w:val="none"/>
        </w:rPr>
        <w:t>履约担保的形式：转账（网银或电汇）（要求注明投标项目名称）等。</w:t>
      </w:r>
    </w:p>
    <w:p>
      <w:pPr>
        <w:spacing w:line="360" w:lineRule="auto"/>
        <w:ind w:firstLine="420"/>
        <w:rPr>
          <w:rFonts w:ascii="宋体" w:hAnsi="宋体"/>
          <w:color w:val="auto"/>
          <w:szCs w:val="21"/>
          <w:highlight w:val="none"/>
        </w:rPr>
      </w:pPr>
      <w:r>
        <w:rPr>
          <w:rFonts w:hint="eastAsia" w:ascii="宋体" w:hAnsi="宋体"/>
          <w:color w:val="auto"/>
          <w:szCs w:val="21"/>
          <w:highlight w:val="none"/>
        </w:rPr>
        <w:t>金额：中标总价的2%；</w:t>
      </w:r>
    </w:p>
    <w:p>
      <w:pPr>
        <w:spacing w:line="360" w:lineRule="auto"/>
        <w:ind w:firstLine="420"/>
        <w:rPr>
          <w:rFonts w:ascii="宋体" w:hAnsi="宋体"/>
          <w:color w:val="auto"/>
          <w:szCs w:val="21"/>
          <w:highlight w:val="none"/>
        </w:rPr>
      </w:pPr>
      <w:r>
        <w:rPr>
          <w:rFonts w:hint="eastAsia" w:ascii="宋体" w:hAnsi="宋体"/>
          <w:color w:val="auto"/>
          <w:szCs w:val="21"/>
          <w:highlight w:val="none"/>
        </w:rPr>
        <w:t>期限：签订合同前，中标人按规定形式向招标人递交履约担保，担保期限至竣工验收合格止,采用转账形式提交的，履约担保在竣工验收合格后10天内退还。</w:t>
      </w:r>
    </w:p>
    <w:p>
      <w:pPr>
        <w:spacing w:line="360" w:lineRule="auto"/>
        <w:ind w:firstLine="420"/>
        <w:rPr>
          <w:rFonts w:ascii="宋体" w:hAnsi="宋体"/>
          <w:color w:val="auto"/>
          <w:szCs w:val="21"/>
          <w:highlight w:val="none"/>
        </w:rPr>
      </w:pPr>
      <w:r>
        <w:rPr>
          <w:rFonts w:hint="eastAsia" w:ascii="宋体" w:hAnsi="宋体"/>
          <w:color w:val="auto"/>
          <w:szCs w:val="21"/>
          <w:highlight w:val="none"/>
        </w:rPr>
        <w:t>履约保证金将在竣工资料移交经监理认可，若施工单位无违约情况将全额退还承包方，若承包方有违约情况，将按合同条款，扣除违约金后退还承包方（无息）。</w:t>
      </w:r>
    </w:p>
    <w:p>
      <w:pPr>
        <w:spacing w:line="360" w:lineRule="auto"/>
        <w:ind w:firstLine="420"/>
        <w:rPr>
          <w:rFonts w:ascii="宋体" w:hAnsi="宋体"/>
          <w:color w:val="auto"/>
          <w:szCs w:val="21"/>
          <w:highlight w:val="none"/>
        </w:rPr>
      </w:pPr>
      <w:r>
        <w:rPr>
          <w:rFonts w:hint="eastAsia" w:ascii="宋体" w:hAnsi="宋体"/>
          <w:color w:val="auto"/>
          <w:szCs w:val="21"/>
          <w:highlight w:val="none"/>
        </w:rPr>
        <w:t>履约保证金（合同价的2％）的组成：其中10%为工期履约保证金，30%为质量履约保证金，40%为文明施工履约保证金，20%为项目管理人员到岗率履约保证金。</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4.7 </w:t>
      </w:r>
      <w:r>
        <w:rPr>
          <w:rFonts w:hint="eastAsia" w:ascii="宋体" w:hAnsi="宋体"/>
          <w:color w:val="auto"/>
          <w:szCs w:val="21"/>
          <w:highlight w:val="none"/>
        </w:rPr>
        <w:t>承包人现场查勘</w:t>
      </w:r>
    </w:p>
    <w:p>
      <w:pPr>
        <w:spacing w:line="360" w:lineRule="auto"/>
        <w:ind w:firstLine="42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 xml:space="preserve">.7.1 </w:t>
      </w:r>
      <w:r>
        <w:rPr>
          <w:rFonts w:hint="eastAsia" w:ascii="宋体" w:hAnsi="宋体"/>
          <w:color w:val="auto"/>
          <w:szCs w:val="21"/>
          <w:highlight w:val="none"/>
        </w:rPr>
        <w:t>双方当事人对现场查勘的责任承担的约定：</w:t>
      </w:r>
      <w:r>
        <w:rPr>
          <w:rFonts w:hint="eastAsia" w:ascii="宋体" w:hAnsi="宋体"/>
          <w:color w:val="auto"/>
          <w:szCs w:val="21"/>
          <w:highlight w:val="none"/>
          <w:u w:val="single"/>
        </w:rPr>
        <w:t>按通用条款</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4.8 </w:t>
      </w:r>
      <w:r>
        <w:rPr>
          <w:rFonts w:hint="eastAsia" w:ascii="宋体" w:hAnsi="宋体"/>
          <w:color w:val="auto"/>
          <w:szCs w:val="21"/>
          <w:highlight w:val="none"/>
        </w:rPr>
        <w:t>不可预见的困难</w:t>
      </w:r>
    </w:p>
    <w:p>
      <w:pPr>
        <w:spacing w:line="360" w:lineRule="auto"/>
        <w:ind w:firstLine="420"/>
        <w:rPr>
          <w:rFonts w:ascii="宋体" w:hAnsi="宋体"/>
          <w:color w:val="auto"/>
          <w:szCs w:val="21"/>
          <w:highlight w:val="none"/>
        </w:rPr>
      </w:pPr>
      <w:r>
        <w:rPr>
          <w:rFonts w:hint="eastAsia" w:ascii="宋体" w:hAnsi="宋体"/>
          <w:color w:val="auto"/>
          <w:szCs w:val="21"/>
          <w:highlight w:val="none"/>
        </w:rPr>
        <w:t>不可预见的困难包括：</w:t>
      </w:r>
      <w:r>
        <w:rPr>
          <w:rFonts w:hint="eastAsia" w:ascii="宋体" w:hAnsi="宋体"/>
          <w:color w:val="auto"/>
          <w:szCs w:val="21"/>
          <w:highlight w:val="none"/>
          <w:u w:val="single"/>
        </w:rPr>
        <w:t>按通用条款</w:t>
      </w:r>
      <w:r>
        <w:rPr>
          <w:rFonts w:ascii="宋体" w:hAnsi="宋体"/>
          <w:color w:val="auto"/>
          <w:szCs w:val="21"/>
          <w:highlight w:val="none"/>
        </w:rPr>
        <w:t>。</w:t>
      </w:r>
    </w:p>
    <w:p>
      <w:pPr>
        <w:pStyle w:val="246"/>
        <w:spacing w:after="120"/>
        <w:ind w:firstLine="420"/>
        <w:outlineLvl w:val="9"/>
        <w:rPr>
          <w:b w:val="0"/>
          <w:bCs/>
          <w:color w:val="auto"/>
          <w:sz w:val="21"/>
          <w:szCs w:val="21"/>
          <w:highlight w:val="none"/>
        </w:rPr>
      </w:pPr>
      <w:bookmarkStart w:id="38" w:name="_Toc54862336"/>
      <w:r>
        <w:rPr>
          <w:rFonts w:hint="eastAsia"/>
          <w:b w:val="0"/>
          <w:bCs/>
          <w:color w:val="auto"/>
          <w:sz w:val="21"/>
          <w:szCs w:val="21"/>
          <w:highlight w:val="none"/>
        </w:rPr>
        <w:t>第</w:t>
      </w:r>
      <w:r>
        <w:rPr>
          <w:b w:val="0"/>
          <w:bCs/>
          <w:color w:val="auto"/>
          <w:sz w:val="21"/>
          <w:szCs w:val="21"/>
          <w:highlight w:val="none"/>
        </w:rPr>
        <w:t>5条</w:t>
      </w:r>
      <w:r>
        <w:rPr>
          <w:rFonts w:hint="eastAsia"/>
          <w:b w:val="0"/>
          <w:bCs/>
          <w:color w:val="auto"/>
          <w:sz w:val="21"/>
          <w:szCs w:val="21"/>
          <w:highlight w:val="none"/>
        </w:rPr>
        <w:t xml:space="preserve"> 设计</w:t>
      </w:r>
      <w:bookmarkEnd w:id="38"/>
    </w:p>
    <w:p>
      <w:pPr>
        <w:spacing w:line="360" w:lineRule="auto"/>
        <w:ind w:firstLine="420"/>
        <w:rPr>
          <w:rFonts w:ascii="宋体" w:hAnsi="宋体"/>
          <w:color w:val="auto"/>
          <w:szCs w:val="21"/>
          <w:highlight w:val="none"/>
        </w:rPr>
      </w:pPr>
      <w:r>
        <w:rPr>
          <w:rFonts w:ascii="宋体" w:hAnsi="宋体"/>
          <w:color w:val="auto"/>
          <w:szCs w:val="21"/>
          <w:highlight w:val="none"/>
        </w:rPr>
        <w:t xml:space="preserve">5.2 </w:t>
      </w:r>
      <w:r>
        <w:rPr>
          <w:rFonts w:hint="eastAsia" w:ascii="宋体" w:hAnsi="宋体"/>
          <w:color w:val="auto"/>
          <w:szCs w:val="21"/>
          <w:highlight w:val="none"/>
        </w:rPr>
        <w:t>承包人文件审查</w:t>
      </w:r>
    </w:p>
    <w:p>
      <w:pPr>
        <w:spacing w:line="360" w:lineRule="auto"/>
        <w:ind w:firstLine="42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 xml:space="preserve">.2.1 </w:t>
      </w:r>
      <w:r>
        <w:rPr>
          <w:rFonts w:hint="eastAsia" w:ascii="宋体" w:hAnsi="宋体"/>
          <w:color w:val="auto"/>
          <w:szCs w:val="21"/>
          <w:highlight w:val="none"/>
        </w:rPr>
        <w:t>承包人文件审查的期限：</w:t>
      </w:r>
      <w:r>
        <w:rPr>
          <w:rFonts w:hint="eastAsia" w:ascii="宋体" w:hAnsi="宋体"/>
          <w:color w:val="auto"/>
          <w:szCs w:val="21"/>
          <w:highlight w:val="none"/>
          <w:u w:val="single"/>
        </w:rPr>
        <w:t>按发包人要求</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5.2.2 </w:t>
      </w:r>
      <w:r>
        <w:rPr>
          <w:rFonts w:hint="eastAsia" w:ascii="宋体" w:hAnsi="宋体"/>
          <w:color w:val="auto"/>
          <w:szCs w:val="21"/>
          <w:highlight w:val="none"/>
        </w:rPr>
        <w:t>审查会议的审查形式和时间安排为：</w:t>
      </w:r>
      <w:r>
        <w:rPr>
          <w:rFonts w:hint="eastAsia" w:ascii="宋体" w:hAnsi="宋体"/>
          <w:color w:val="auto"/>
          <w:szCs w:val="21"/>
          <w:highlight w:val="none"/>
          <w:u w:val="single"/>
        </w:rPr>
        <w:t>按发包人要求</w:t>
      </w:r>
      <w:r>
        <w:rPr>
          <w:rFonts w:hint="eastAsia" w:ascii="宋体" w:hAnsi="宋体"/>
          <w:color w:val="auto"/>
          <w:szCs w:val="21"/>
          <w:highlight w:val="none"/>
        </w:rPr>
        <w:t>，审查会议的相关费用由</w:t>
      </w:r>
      <w:r>
        <w:rPr>
          <w:rFonts w:hint="eastAsia" w:ascii="宋体" w:hAnsi="宋体"/>
          <w:color w:val="auto"/>
          <w:szCs w:val="21"/>
          <w:highlight w:val="none"/>
          <w:u w:val="single"/>
        </w:rPr>
        <w:t>发包人</w:t>
      </w:r>
      <w:r>
        <w:rPr>
          <w:rFonts w:hint="eastAsia" w:ascii="宋体" w:hAnsi="宋体"/>
          <w:color w:val="auto"/>
          <w:szCs w:val="21"/>
          <w:highlight w:val="none"/>
        </w:rPr>
        <w:t>承担。</w:t>
      </w:r>
    </w:p>
    <w:p>
      <w:pPr>
        <w:spacing w:line="360" w:lineRule="auto"/>
        <w:ind w:firstLine="42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 xml:space="preserve">.2.3 </w:t>
      </w:r>
      <w:r>
        <w:rPr>
          <w:rFonts w:hint="eastAsia" w:ascii="宋体" w:hAnsi="宋体"/>
          <w:color w:val="auto"/>
          <w:szCs w:val="21"/>
          <w:highlight w:val="none"/>
        </w:rPr>
        <w:t>关于第三方审查单位的约定：</w:t>
      </w:r>
      <w:r>
        <w:rPr>
          <w:rFonts w:hint="eastAsia" w:ascii="宋体" w:hAnsi="宋体"/>
          <w:color w:val="auto"/>
          <w:szCs w:val="21"/>
          <w:highlight w:val="none"/>
          <w:u w:val="single"/>
        </w:rPr>
        <w:t>按相关规定</w:t>
      </w:r>
      <w:r>
        <w:rPr>
          <w:rFonts w:ascii="宋体" w:hAnsi="宋体"/>
          <w:color w:val="auto"/>
          <w:szCs w:val="21"/>
          <w:highlight w:val="none"/>
          <w:u w:val="single"/>
        </w:rPr>
        <w:t>执行</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5.3 </w:t>
      </w:r>
      <w:r>
        <w:rPr>
          <w:rFonts w:hint="eastAsia" w:ascii="宋体" w:hAnsi="宋体"/>
          <w:color w:val="auto"/>
          <w:szCs w:val="21"/>
          <w:highlight w:val="none"/>
        </w:rPr>
        <w:t>培训</w:t>
      </w:r>
    </w:p>
    <w:p>
      <w:pPr>
        <w:spacing w:line="360" w:lineRule="auto"/>
        <w:ind w:firstLine="420"/>
        <w:rPr>
          <w:rFonts w:ascii="宋体" w:hAnsi="宋体"/>
          <w:color w:val="auto"/>
          <w:szCs w:val="21"/>
          <w:highlight w:val="none"/>
        </w:rPr>
      </w:pPr>
      <w:r>
        <w:rPr>
          <w:rFonts w:hint="eastAsia" w:ascii="宋体" w:hAnsi="宋体"/>
          <w:color w:val="auto"/>
          <w:szCs w:val="21"/>
          <w:highlight w:val="none"/>
        </w:rPr>
        <w:t>培训的时长为</w:t>
      </w:r>
      <w:r>
        <w:rPr>
          <w:rFonts w:ascii="宋体" w:hAnsi="宋体"/>
          <w:color w:val="auto"/>
          <w:szCs w:val="21"/>
          <w:highlight w:val="none"/>
          <w:u w:val="single"/>
        </w:rPr>
        <w:t xml:space="preserve">   /   </w:t>
      </w:r>
      <w:r>
        <w:rPr>
          <w:rFonts w:hint="eastAsia" w:ascii="宋体" w:hAnsi="宋体"/>
          <w:color w:val="auto"/>
          <w:szCs w:val="21"/>
          <w:highlight w:val="none"/>
        </w:rPr>
        <w:t>，承包人应为培训提供的人员、设施和其它必要条件为</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5.4 </w:t>
      </w:r>
      <w:r>
        <w:rPr>
          <w:rFonts w:hint="eastAsia" w:ascii="宋体" w:hAnsi="宋体"/>
          <w:color w:val="auto"/>
          <w:szCs w:val="21"/>
          <w:highlight w:val="none"/>
        </w:rPr>
        <w:t>竣工文件</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5.4.1 </w:t>
      </w:r>
      <w:r>
        <w:rPr>
          <w:rFonts w:hint="eastAsia" w:ascii="宋体" w:hAnsi="宋体"/>
          <w:color w:val="auto"/>
          <w:szCs w:val="21"/>
          <w:highlight w:val="none"/>
        </w:rPr>
        <w:t>竣工文件的形式、提供的份数、技术标准以及其它相关要求：</w:t>
      </w:r>
      <w:r>
        <w:rPr>
          <w:rFonts w:ascii="宋体" w:hAnsi="宋体"/>
          <w:color w:val="auto"/>
          <w:szCs w:val="21"/>
          <w:highlight w:val="none"/>
          <w:u w:val="single"/>
        </w:rPr>
        <w:t>按照法律</w:t>
      </w:r>
      <w:r>
        <w:rPr>
          <w:rFonts w:hint="eastAsia" w:ascii="宋体" w:hAnsi="宋体"/>
          <w:color w:val="auto"/>
          <w:szCs w:val="21"/>
          <w:highlight w:val="none"/>
          <w:u w:val="single"/>
        </w:rPr>
        <w:t>法规</w:t>
      </w:r>
      <w:r>
        <w:rPr>
          <w:rFonts w:ascii="宋体" w:hAnsi="宋体"/>
          <w:color w:val="auto"/>
          <w:szCs w:val="21"/>
          <w:highlight w:val="none"/>
          <w:u w:val="single"/>
        </w:rPr>
        <w:t>规定</w:t>
      </w:r>
      <w:r>
        <w:rPr>
          <w:rFonts w:hint="eastAsia" w:ascii="宋体" w:hAnsi="宋体"/>
          <w:color w:val="auto"/>
          <w:szCs w:val="21"/>
          <w:highlight w:val="none"/>
          <w:u w:val="single"/>
        </w:rPr>
        <w:t>的完整内容</w:t>
      </w:r>
      <w:r>
        <w:rPr>
          <w:rFonts w:ascii="宋体" w:hAnsi="宋体"/>
          <w:color w:val="auto"/>
          <w:szCs w:val="21"/>
          <w:highlight w:val="none"/>
          <w:u w:val="single"/>
        </w:rPr>
        <w:t>编制竣工</w:t>
      </w:r>
      <w:r>
        <w:rPr>
          <w:rFonts w:hint="eastAsia" w:ascii="宋体" w:hAnsi="宋体"/>
          <w:color w:val="auto"/>
          <w:szCs w:val="21"/>
          <w:highlight w:val="none"/>
          <w:u w:val="single"/>
        </w:rPr>
        <w:t>文件</w:t>
      </w:r>
      <w:r>
        <w:rPr>
          <w:rFonts w:ascii="宋体" w:hAnsi="宋体"/>
          <w:color w:val="auto"/>
          <w:szCs w:val="21"/>
          <w:highlight w:val="none"/>
          <w:u w:val="single"/>
        </w:rPr>
        <w:t>，完成竣工</w:t>
      </w:r>
      <w:r>
        <w:rPr>
          <w:rFonts w:hint="eastAsia" w:ascii="宋体" w:hAnsi="宋体"/>
          <w:color w:val="auto"/>
          <w:szCs w:val="21"/>
          <w:highlight w:val="none"/>
          <w:u w:val="single"/>
        </w:rPr>
        <w:t>文件</w:t>
      </w:r>
      <w:r>
        <w:rPr>
          <w:rFonts w:ascii="宋体" w:hAnsi="宋体"/>
          <w:color w:val="auto"/>
          <w:szCs w:val="21"/>
          <w:highlight w:val="none"/>
          <w:u w:val="single"/>
        </w:rPr>
        <w:t>立卷及归档</w:t>
      </w:r>
      <w:r>
        <w:rPr>
          <w:rFonts w:hint="eastAsia" w:ascii="宋体" w:hAnsi="宋体"/>
          <w:color w:val="auto"/>
          <w:szCs w:val="21"/>
          <w:highlight w:val="none"/>
          <w:u w:val="single"/>
        </w:rPr>
        <w:t>，</w:t>
      </w:r>
      <w:r>
        <w:rPr>
          <w:rFonts w:ascii="宋体" w:hAnsi="宋体"/>
          <w:color w:val="auto"/>
          <w:szCs w:val="21"/>
          <w:highlight w:val="none"/>
          <w:u w:val="single"/>
        </w:rPr>
        <w:t>竣工</w:t>
      </w:r>
      <w:r>
        <w:rPr>
          <w:rFonts w:hint="eastAsia" w:ascii="宋体" w:hAnsi="宋体"/>
          <w:color w:val="auto"/>
          <w:szCs w:val="21"/>
          <w:highlight w:val="none"/>
          <w:u w:val="single"/>
        </w:rPr>
        <w:t>文件纸质3套，电子文档1套， 工程验收合格后一个月内提供</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 xml:space="preserve">.4.3 </w:t>
      </w:r>
      <w:r>
        <w:rPr>
          <w:rFonts w:hint="eastAsia" w:ascii="宋体" w:hAnsi="宋体"/>
          <w:color w:val="auto"/>
          <w:szCs w:val="21"/>
          <w:highlight w:val="none"/>
        </w:rPr>
        <w:t>关于竣工文件的其他约定：</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5.5 </w:t>
      </w:r>
      <w:r>
        <w:rPr>
          <w:rFonts w:hint="eastAsia" w:ascii="宋体" w:hAnsi="宋体"/>
          <w:color w:val="auto"/>
          <w:szCs w:val="21"/>
          <w:highlight w:val="none"/>
        </w:rPr>
        <w:t>操作和维修手册</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5.5.3 </w:t>
      </w:r>
      <w:r>
        <w:rPr>
          <w:rFonts w:hint="eastAsia" w:ascii="宋体" w:hAnsi="宋体"/>
          <w:color w:val="auto"/>
          <w:szCs w:val="21"/>
          <w:highlight w:val="none"/>
        </w:rPr>
        <w:t>对最终操作和维修手册的约定：</w:t>
      </w:r>
      <w:r>
        <w:rPr>
          <w:rFonts w:hint="eastAsia" w:ascii="宋体" w:hAnsi="宋体"/>
          <w:color w:val="auto"/>
          <w:szCs w:val="21"/>
          <w:highlight w:val="none"/>
          <w:u w:val="single"/>
        </w:rPr>
        <w:t>按发包人要求</w:t>
      </w:r>
      <w:r>
        <w:rPr>
          <w:rFonts w:hint="eastAsia" w:ascii="宋体" w:hAnsi="宋体"/>
          <w:color w:val="auto"/>
          <w:szCs w:val="21"/>
          <w:highlight w:val="none"/>
        </w:rPr>
        <w:t>。</w:t>
      </w:r>
    </w:p>
    <w:p>
      <w:pPr>
        <w:pStyle w:val="246"/>
        <w:spacing w:after="120"/>
        <w:ind w:firstLine="420"/>
        <w:outlineLvl w:val="9"/>
        <w:rPr>
          <w:b w:val="0"/>
          <w:bCs/>
          <w:color w:val="auto"/>
          <w:sz w:val="21"/>
          <w:szCs w:val="21"/>
          <w:highlight w:val="none"/>
        </w:rPr>
      </w:pPr>
      <w:bookmarkStart w:id="39" w:name="_Toc54862337"/>
      <w:r>
        <w:rPr>
          <w:rFonts w:hint="eastAsia"/>
          <w:b w:val="0"/>
          <w:bCs/>
          <w:color w:val="auto"/>
          <w:sz w:val="21"/>
          <w:szCs w:val="21"/>
          <w:highlight w:val="none"/>
        </w:rPr>
        <w:t>第</w:t>
      </w:r>
      <w:r>
        <w:rPr>
          <w:b w:val="0"/>
          <w:bCs/>
          <w:color w:val="auto"/>
          <w:sz w:val="21"/>
          <w:szCs w:val="21"/>
          <w:highlight w:val="none"/>
        </w:rPr>
        <w:t>6条</w:t>
      </w:r>
      <w:r>
        <w:rPr>
          <w:rFonts w:hint="eastAsia"/>
          <w:b w:val="0"/>
          <w:bCs/>
          <w:color w:val="auto"/>
          <w:sz w:val="21"/>
          <w:szCs w:val="21"/>
          <w:highlight w:val="none"/>
        </w:rPr>
        <w:t xml:space="preserve"> 材料、工程设备</w:t>
      </w:r>
      <w:bookmarkEnd w:id="39"/>
    </w:p>
    <w:p>
      <w:pPr>
        <w:spacing w:line="360" w:lineRule="auto"/>
        <w:ind w:firstLine="420"/>
        <w:rPr>
          <w:rFonts w:ascii="宋体" w:hAnsi="宋体"/>
          <w:color w:val="auto"/>
          <w:szCs w:val="21"/>
          <w:highlight w:val="none"/>
        </w:rPr>
      </w:pPr>
      <w:r>
        <w:rPr>
          <w:rFonts w:ascii="宋体" w:hAnsi="宋体"/>
          <w:color w:val="auto"/>
          <w:szCs w:val="21"/>
          <w:highlight w:val="none"/>
        </w:rPr>
        <w:t xml:space="preserve">6.1 </w:t>
      </w:r>
      <w:r>
        <w:rPr>
          <w:rFonts w:hint="eastAsia" w:ascii="宋体" w:hAnsi="宋体"/>
          <w:color w:val="auto"/>
          <w:szCs w:val="21"/>
          <w:highlight w:val="none"/>
        </w:rPr>
        <w:t>实施方法</w:t>
      </w:r>
    </w:p>
    <w:p>
      <w:pPr>
        <w:spacing w:line="360" w:lineRule="auto"/>
        <w:ind w:firstLine="420"/>
        <w:rPr>
          <w:rFonts w:ascii="宋体" w:hAnsi="宋体"/>
          <w:color w:val="auto"/>
          <w:szCs w:val="21"/>
          <w:highlight w:val="none"/>
        </w:rPr>
      </w:pPr>
      <w:r>
        <w:rPr>
          <w:rFonts w:hint="eastAsia" w:ascii="宋体" w:hAnsi="宋体"/>
          <w:color w:val="auto"/>
          <w:szCs w:val="21"/>
          <w:highlight w:val="none"/>
        </w:rPr>
        <w:t>双方当事人约定的实施方法、设备、设施和材料：</w:t>
      </w:r>
      <w:r>
        <w:rPr>
          <w:rFonts w:hint="eastAsia" w:ascii="宋体" w:hAnsi="宋体"/>
          <w:color w:val="auto"/>
          <w:szCs w:val="21"/>
          <w:highlight w:val="none"/>
          <w:u w:val="single"/>
        </w:rPr>
        <w:t>按发包人要求</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6.2 </w:t>
      </w:r>
      <w:r>
        <w:rPr>
          <w:rFonts w:hint="eastAsia" w:ascii="宋体" w:hAnsi="宋体"/>
          <w:color w:val="auto"/>
          <w:szCs w:val="21"/>
          <w:highlight w:val="none"/>
        </w:rPr>
        <w:t>材料和工程设备</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6.2.1 </w:t>
      </w:r>
      <w:r>
        <w:rPr>
          <w:rFonts w:hint="eastAsia" w:ascii="宋体" w:hAnsi="宋体"/>
          <w:color w:val="auto"/>
          <w:szCs w:val="21"/>
          <w:highlight w:val="none"/>
        </w:rPr>
        <w:t>发包人提供的材料和工程设备</w:t>
      </w:r>
    </w:p>
    <w:p>
      <w:pPr>
        <w:spacing w:line="360" w:lineRule="auto"/>
        <w:ind w:firstLine="420"/>
        <w:rPr>
          <w:rFonts w:ascii="宋体" w:hAnsi="宋体"/>
          <w:color w:val="auto"/>
          <w:szCs w:val="21"/>
          <w:highlight w:val="none"/>
        </w:rPr>
      </w:pPr>
      <w:r>
        <w:rPr>
          <w:rFonts w:hint="eastAsia" w:ascii="宋体" w:hAnsi="宋体"/>
          <w:color w:val="auto"/>
          <w:szCs w:val="21"/>
          <w:highlight w:val="none"/>
        </w:rPr>
        <w:t>发包人提供的材料和工程设备验收后，由</w:t>
      </w:r>
      <w:r>
        <w:rPr>
          <w:rFonts w:hint="eastAsia" w:ascii="宋体" w:hAnsi="宋体"/>
          <w:color w:val="auto"/>
          <w:szCs w:val="21"/>
          <w:highlight w:val="none"/>
          <w:u w:val="single"/>
        </w:rPr>
        <w:t>承包人</w:t>
      </w:r>
      <w:r>
        <w:rPr>
          <w:rFonts w:hint="eastAsia" w:ascii="宋体" w:hAnsi="宋体"/>
          <w:color w:val="auto"/>
          <w:szCs w:val="21"/>
          <w:highlight w:val="none"/>
        </w:rPr>
        <w:t>负责接收、运输和保管。</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6.2.2 </w:t>
      </w:r>
      <w:r>
        <w:rPr>
          <w:rFonts w:hint="eastAsia" w:ascii="宋体" w:hAnsi="宋体"/>
          <w:color w:val="auto"/>
          <w:szCs w:val="21"/>
          <w:highlight w:val="none"/>
        </w:rPr>
        <w:t>承包人提供的材料和工程设备</w:t>
      </w:r>
    </w:p>
    <w:p>
      <w:pPr>
        <w:spacing w:line="360" w:lineRule="auto"/>
        <w:ind w:firstLine="420"/>
        <w:rPr>
          <w:rFonts w:ascii="宋体" w:hAnsi="宋体"/>
          <w:color w:val="auto"/>
          <w:szCs w:val="21"/>
          <w:highlight w:val="none"/>
        </w:rPr>
      </w:pPr>
      <w:r>
        <w:rPr>
          <w:rFonts w:hint="eastAsia" w:ascii="宋体" w:hAnsi="宋体"/>
          <w:color w:val="auto"/>
          <w:szCs w:val="21"/>
          <w:highlight w:val="none"/>
        </w:rPr>
        <w:t>材料和工程设备的类别、估算数量：</w:t>
      </w:r>
      <w:r>
        <w:rPr>
          <w:rFonts w:hint="eastAsia" w:ascii="宋体" w:hAnsi="宋体"/>
          <w:color w:val="auto"/>
          <w:szCs w:val="21"/>
          <w:highlight w:val="none"/>
          <w:u w:val="single"/>
        </w:rPr>
        <w:t>按施工图</w:t>
      </w:r>
      <w:r>
        <w:rPr>
          <w:rFonts w:ascii="宋体" w:hAnsi="宋体"/>
          <w:color w:val="auto"/>
          <w:szCs w:val="21"/>
          <w:highlight w:val="none"/>
          <w:u w:val="single"/>
        </w:rPr>
        <w:t>要求</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竣工后试验的生产性材料的类别或（和）清单：</w:t>
      </w:r>
      <w:r>
        <w:rPr>
          <w:rFonts w:hint="eastAsia" w:ascii="宋体" w:hAnsi="宋体"/>
          <w:color w:val="auto"/>
          <w:szCs w:val="21"/>
          <w:highlight w:val="none"/>
          <w:u w:val="single"/>
        </w:rPr>
        <w:t>按发包人要求</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6.2.3 </w:t>
      </w:r>
      <w:r>
        <w:rPr>
          <w:rFonts w:hint="eastAsia" w:ascii="宋体" w:hAnsi="宋体"/>
          <w:color w:val="auto"/>
          <w:szCs w:val="21"/>
          <w:highlight w:val="none"/>
        </w:rPr>
        <w:t>材料和工程设备的保管</w:t>
      </w:r>
    </w:p>
    <w:p>
      <w:pPr>
        <w:spacing w:line="360" w:lineRule="auto"/>
        <w:ind w:firstLine="420"/>
        <w:rPr>
          <w:rFonts w:ascii="宋体" w:hAnsi="宋体"/>
          <w:color w:val="auto"/>
          <w:szCs w:val="21"/>
          <w:highlight w:val="none"/>
        </w:rPr>
      </w:pPr>
      <w:r>
        <w:rPr>
          <w:rFonts w:hint="eastAsia" w:ascii="宋体" w:hAnsi="宋体"/>
          <w:color w:val="auto"/>
          <w:szCs w:val="21"/>
          <w:highlight w:val="none"/>
        </w:rPr>
        <w:t>发包人供应的材料和工程设备的保管费用由</w:t>
      </w:r>
      <w:r>
        <w:rPr>
          <w:rFonts w:hint="eastAsia" w:ascii="宋体" w:hAnsi="宋体"/>
          <w:color w:val="auto"/>
          <w:szCs w:val="21"/>
          <w:highlight w:val="none"/>
          <w:u w:val="single"/>
        </w:rPr>
        <w:t>承包人</w:t>
      </w:r>
      <w:r>
        <w:rPr>
          <w:rFonts w:hint="eastAsia" w:ascii="宋体" w:hAnsi="宋体"/>
          <w:color w:val="auto"/>
          <w:szCs w:val="21"/>
          <w:highlight w:val="none"/>
        </w:rPr>
        <w:t>承担。</w:t>
      </w:r>
    </w:p>
    <w:p>
      <w:pPr>
        <w:spacing w:line="360" w:lineRule="auto"/>
        <w:ind w:firstLine="420"/>
        <w:rPr>
          <w:rFonts w:ascii="宋体" w:hAnsi="宋体"/>
          <w:color w:val="auto"/>
          <w:szCs w:val="21"/>
          <w:highlight w:val="none"/>
        </w:rPr>
      </w:pPr>
      <w:r>
        <w:rPr>
          <w:rFonts w:hint="eastAsia" w:ascii="宋体" w:hAnsi="宋体"/>
          <w:color w:val="auto"/>
          <w:szCs w:val="21"/>
          <w:highlight w:val="none"/>
        </w:rPr>
        <w:t>承包人提交保管、维护方案的时间：</w:t>
      </w:r>
      <w:r>
        <w:rPr>
          <w:rFonts w:hint="eastAsia" w:ascii="宋体" w:hAnsi="宋体"/>
          <w:color w:val="auto"/>
          <w:szCs w:val="21"/>
          <w:highlight w:val="none"/>
          <w:u w:val="single"/>
        </w:rPr>
        <w:t>按发包人要求</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发包人提供的库房、堆场、设施和设备：</w:t>
      </w:r>
      <w:r>
        <w:rPr>
          <w:rFonts w:hint="eastAsia" w:ascii="宋体" w:hAnsi="宋体"/>
          <w:color w:val="auto"/>
          <w:szCs w:val="21"/>
          <w:highlight w:val="none"/>
          <w:u w:val="single"/>
        </w:rPr>
        <w:t>发生</w:t>
      </w:r>
      <w:r>
        <w:rPr>
          <w:rFonts w:ascii="宋体" w:hAnsi="宋体"/>
          <w:color w:val="auto"/>
          <w:szCs w:val="21"/>
          <w:highlight w:val="none"/>
          <w:u w:val="single"/>
        </w:rPr>
        <w:t>时</w:t>
      </w:r>
      <w:r>
        <w:rPr>
          <w:rFonts w:hint="eastAsia" w:ascii="宋体" w:hAnsi="宋体"/>
          <w:color w:val="auto"/>
          <w:szCs w:val="21"/>
          <w:highlight w:val="none"/>
          <w:u w:val="single"/>
        </w:rPr>
        <w:t>另行约定</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6.3 </w:t>
      </w:r>
      <w:r>
        <w:rPr>
          <w:rFonts w:hint="eastAsia" w:ascii="宋体" w:hAnsi="宋体"/>
          <w:color w:val="auto"/>
          <w:szCs w:val="21"/>
          <w:highlight w:val="none"/>
        </w:rPr>
        <w:t>样品</w:t>
      </w:r>
    </w:p>
    <w:p>
      <w:pPr>
        <w:spacing w:line="360" w:lineRule="auto"/>
        <w:ind w:firstLine="420"/>
        <w:rPr>
          <w:rFonts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 xml:space="preserve">.3.1 </w:t>
      </w:r>
      <w:r>
        <w:rPr>
          <w:rFonts w:hint="eastAsia" w:ascii="宋体" w:hAnsi="宋体"/>
          <w:color w:val="auto"/>
          <w:szCs w:val="21"/>
          <w:highlight w:val="none"/>
        </w:rPr>
        <w:t>样品的报送与封存</w:t>
      </w:r>
    </w:p>
    <w:p>
      <w:pPr>
        <w:spacing w:line="360" w:lineRule="auto"/>
        <w:ind w:firstLine="420"/>
        <w:rPr>
          <w:rFonts w:ascii="宋体" w:hAnsi="宋体"/>
          <w:color w:val="auto"/>
          <w:szCs w:val="21"/>
          <w:highlight w:val="none"/>
        </w:rPr>
      </w:pPr>
      <w:r>
        <w:rPr>
          <w:rFonts w:ascii="宋体" w:hAnsi="宋体"/>
          <w:color w:val="auto"/>
          <w:szCs w:val="21"/>
          <w:highlight w:val="none"/>
        </w:rPr>
        <w:t>需要承包人报送样品的材料或工程设备</w:t>
      </w:r>
      <w:r>
        <w:rPr>
          <w:rFonts w:hint="eastAsia" w:ascii="宋体" w:hAnsi="宋体"/>
          <w:color w:val="auto"/>
          <w:szCs w:val="21"/>
          <w:highlight w:val="none"/>
        </w:rPr>
        <w:t>，样品种类、名称、规格、数量：</w:t>
      </w:r>
      <w:r>
        <w:rPr>
          <w:rFonts w:hint="eastAsia" w:ascii="宋体" w:hAnsi="宋体"/>
          <w:color w:val="auto"/>
          <w:szCs w:val="21"/>
          <w:highlight w:val="none"/>
          <w:u w:val="single"/>
        </w:rPr>
        <w:t>按发包人要求</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6.4 </w:t>
      </w:r>
      <w:r>
        <w:rPr>
          <w:rFonts w:hint="eastAsia" w:ascii="宋体" w:hAnsi="宋体"/>
          <w:color w:val="auto"/>
          <w:szCs w:val="21"/>
          <w:highlight w:val="none"/>
        </w:rPr>
        <w:t>质量检查</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6.4.1 </w:t>
      </w:r>
      <w:r>
        <w:rPr>
          <w:rFonts w:hint="eastAsia" w:ascii="宋体" w:hAnsi="宋体"/>
          <w:color w:val="auto"/>
          <w:szCs w:val="21"/>
          <w:highlight w:val="none"/>
        </w:rPr>
        <w:t>工程质量要求</w:t>
      </w:r>
    </w:p>
    <w:p>
      <w:pPr>
        <w:spacing w:line="360" w:lineRule="auto"/>
        <w:ind w:firstLine="420"/>
        <w:rPr>
          <w:rFonts w:ascii="宋体" w:hAnsi="宋体"/>
          <w:color w:val="auto"/>
          <w:szCs w:val="21"/>
          <w:highlight w:val="none"/>
        </w:rPr>
      </w:pPr>
      <w:r>
        <w:rPr>
          <w:rFonts w:hint="eastAsia" w:ascii="宋体" w:hAnsi="宋体"/>
          <w:color w:val="auto"/>
          <w:szCs w:val="21"/>
          <w:highlight w:val="none"/>
        </w:rPr>
        <w:t>工程质量的特殊标准或要求：</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6.4.2 </w:t>
      </w:r>
      <w:r>
        <w:rPr>
          <w:rFonts w:hint="eastAsia" w:ascii="宋体" w:hAnsi="宋体"/>
          <w:color w:val="auto"/>
          <w:szCs w:val="21"/>
          <w:highlight w:val="none"/>
        </w:rPr>
        <w:t>质量检查</w:t>
      </w:r>
    </w:p>
    <w:p>
      <w:pPr>
        <w:spacing w:line="360" w:lineRule="auto"/>
        <w:ind w:firstLine="420"/>
        <w:rPr>
          <w:rFonts w:ascii="宋体" w:hAnsi="宋体"/>
          <w:color w:val="auto"/>
          <w:szCs w:val="21"/>
          <w:highlight w:val="none"/>
        </w:rPr>
      </w:pPr>
      <w:r>
        <w:rPr>
          <w:rFonts w:hint="eastAsia" w:ascii="宋体" w:hAnsi="宋体"/>
          <w:color w:val="auto"/>
          <w:szCs w:val="21"/>
          <w:highlight w:val="none"/>
        </w:rPr>
        <w:t>除通用合同条件已列明的质量检查的地点外，发包人有权进行质量检查的其他地点：</w:t>
      </w:r>
      <w:r>
        <w:rPr>
          <w:rFonts w:hint="eastAsia" w:ascii="宋体" w:hAnsi="宋体"/>
          <w:color w:val="auto"/>
          <w:szCs w:val="21"/>
          <w:highlight w:val="none"/>
          <w:u w:val="single"/>
        </w:rPr>
        <w:t>按发包人要求</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6.4.3 </w:t>
      </w:r>
      <w:r>
        <w:rPr>
          <w:rFonts w:hint="eastAsia" w:ascii="宋体" w:hAnsi="宋体"/>
          <w:color w:val="auto"/>
          <w:szCs w:val="21"/>
          <w:highlight w:val="none"/>
        </w:rPr>
        <w:t>隐蔽工程检查</w:t>
      </w:r>
    </w:p>
    <w:p>
      <w:pPr>
        <w:spacing w:line="360" w:lineRule="auto"/>
        <w:ind w:firstLine="420"/>
        <w:rPr>
          <w:rFonts w:ascii="宋体" w:hAnsi="宋体"/>
          <w:color w:val="auto"/>
          <w:szCs w:val="21"/>
          <w:highlight w:val="none"/>
        </w:rPr>
      </w:pPr>
      <w:r>
        <w:rPr>
          <w:rFonts w:hint="eastAsia" w:ascii="宋体" w:hAnsi="宋体"/>
          <w:color w:val="auto"/>
          <w:szCs w:val="21"/>
          <w:highlight w:val="none"/>
        </w:rPr>
        <w:t>关于隐蔽工程和中间验收的特别约定：</w:t>
      </w:r>
      <w:r>
        <w:rPr>
          <w:rFonts w:hint="eastAsia" w:ascii="宋体" w:hAnsi="宋体"/>
          <w:color w:val="auto"/>
          <w:szCs w:val="21"/>
          <w:highlight w:val="none"/>
          <w:u w:val="single"/>
        </w:rPr>
        <w:t>按通用条款</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6.5 </w:t>
      </w:r>
      <w:r>
        <w:rPr>
          <w:rFonts w:hint="eastAsia" w:ascii="宋体" w:hAnsi="宋体"/>
          <w:color w:val="auto"/>
          <w:szCs w:val="21"/>
          <w:highlight w:val="none"/>
        </w:rPr>
        <w:t>由承包人试验和检验</w:t>
      </w:r>
    </w:p>
    <w:p>
      <w:pPr>
        <w:spacing w:line="360" w:lineRule="auto"/>
        <w:ind w:firstLine="420"/>
        <w:rPr>
          <w:rFonts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 xml:space="preserve">.5.1 </w:t>
      </w:r>
      <w:r>
        <w:rPr>
          <w:rFonts w:hint="eastAsia" w:ascii="宋体" w:hAnsi="宋体"/>
          <w:color w:val="auto"/>
          <w:szCs w:val="21"/>
          <w:highlight w:val="none"/>
        </w:rPr>
        <w:t>试验设备与试验人员</w:t>
      </w:r>
    </w:p>
    <w:p>
      <w:pPr>
        <w:spacing w:line="360" w:lineRule="auto"/>
        <w:ind w:firstLine="420"/>
        <w:rPr>
          <w:rFonts w:ascii="宋体" w:hAnsi="宋体"/>
          <w:color w:val="auto"/>
          <w:szCs w:val="21"/>
          <w:highlight w:val="none"/>
        </w:rPr>
      </w:pPr>
      <w:r>
        <w:rPr>
          <w:rFonts w:hint="eastAsia" w:ascii="宋体" w:hAnsi="宋体"/>
          <w:color w:val="auto"/>
          <w:szCs w:val="21"/>
          <w:highlight w:val="none"/>
        </w:rPr>
        <w:t>试验的内容、时间和地点：</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试验所需要的试验设备、取样装置、试验场所和试验条件：</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rPr>
          <w:rFonts w:ascii="宋体" w:hAnsi="宋体"/>
          <w:color w:val="auto"/>
          <w:szCs w:val="21"/>
          <w:highlight w:val="none"/>
          <w:u w:val="single"/>
        </w:rPr>
      </w:pPr>
      <w:r>
        <w:rPr>
          <w:rFonts w:hint="eastAsia" w:ascii="宋体" w:hAnsi="宋体"/>
          <w:color w:val="auto"/>
          <w:szCs w:val="21"/>
          <w:highlight w:val="none"/>
        </w:rPr>
        <w:t>试验和检验费用的计价原则：</w:t>
      </w:r>
      <w:r>
        <w:rPr>
          <w:rFonts w:hint="eastAsia" w:ascii="宋体" w:hAnsi="宋体"/>
          <w:color w:val="auto"/>
          <w:szCs w:val="21"/>
          <w:highlight w:val="none"/>
          <w:u w:val="single"/>
        </w:rPr>
        <w:t>已包含</w:t>
      </w:r>
      <w:r>
        <w:rPr>
          <w:rFonts w:ascii="宋体" w:hAnsi="宋体"/>
          <w:color w:val="auto"/>
          <w:szCs w:val="21"/>
          <w:highlight w:val="none"/>
          <w:u w:val="single"/>
        </w:rPr>
        <w:t>在总承包合同价款中</w:t>
      </w:r>
      <w:r>
        <w:rPr>
          <w:rFonts w:hint="eastAsia" w:ascii="宋体" w:hAnsi="宋体"/>
          <w:color w:val="auto"/>
          <w:szCs w:val="21"/>
          <w:highlight w:val="none"/>
        </w:rPr>
        <w:t>。</w:t>
      </w:r>
    </w:p>
    <w:p>
      <w:pPr>
        <w:pStyle w:val="246"/>
        <w:spacing w:after="120"/>
        <w:ind w:firstLine="420"/>
        <w:outlineLvl w:val="9"/>
        <w:rPr>
          <w:color w:val="auto"/>
          <w:sz w:val="21"/>
          <w:szCs w:val="21"/>
          <w:highlight w:val="none"/>
        </w:rPr>
      </w:pPr>
      <w:bookmarkStart w:id="40" w:name="_Toc54862338"/>
      <w:r>
        <w:rPr>
          <w:rFonts w:hint="eastAsia"/>
          <w:color w:val="auto"/>
          <w:sz w:val="21"/>
          <w:szCs w:val="21"/>
          <w:highlight w:val="none"/>
        </w:rPr>
        <w:t>第</w:t>
      </w:r>
      <w:r>
        <w:rPr>
          <w:color w:val="auto"/>
          <w:sz w:val="21"/>
          <w:szCs w:val="21"/>
          <w:highlight w:val="none"/>
        </w:rPr>
        <w:t>7条</w:t>
      </w:r>
      <w:r>
        <w:rPr>
          <w:rFonts w:hint="eastAsia"/>
          <w:color w:val="auto"/>
          <w:sz w:val="21"/>
          <w:szCs w:val="21"/>
          <w:highlight w:val="none"/>
        </w:rPr>
        <w:t xml:space="preserve"> 施工</w:t>
      </w:r>
      <w:bookmarkEnd w:id="40"/>
    </w:p>
    <w:p>
      <w:pPr>
        <w:spacing w:line="360" w:lineRule="auto"/>
        <w:ind w:firstLine="420"/>
        <w:rPr>
          <w:rFonts w:ascii="宋体" w:hAnsi="宋体"/>
          <w:color w:val="auto"/>
          <w:szCs w:val="21"/>
          <w:highlight w:val="none"/>
        </w:rPr>
      </w:pPr>
      <w:r>
        <w:rPr>
          <w:rFonts w:ascii="宋体" w:hAnsi="宋体"/>
          <w:color w:val="auto"/>
          <w:szCs w:val="21"/>
          <w:highlight w:val="none"/>
        </w:rPr>
        <w:t xml:space="preserve">7.1 </w:t>
      </w:r>
      <w:r>
        <w:rPr>
          <w:rFonts w:hint="eastAsia" w:ascii="宋体" w:hAnsi="宋体"/>
          <w:color w:val="auto"/>
          <w:szCs w:val="21"/>
          <w:highlight w:val="none"/>
        </w:rPr>
        <w:t>交通运输</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7.1.1 </w:t>
      </w:r>
      <w:r>
        <w:rPr>
          <w:rFonts w:hint="eastAsia" w:ascii="宋体" w:hAnsi="宋体"/>
          <w:color w:val="auto"/>
          <w:szCs w:val="21"/>
          <w:highlight w:val="none"/>
        </w:rPr>
        <w:t>出入现场的权利</w:t>
      </w:r>
    </w:p>
    <w:p>
      <w:pPr>
        <w:spacing w:line="360" w:lineRule="auto"/>
        <w:ind w:firstLine="420"/>
        <w:rPr>
          <w:rFonts w:ascii="宋体" w:hAnsi="宋体"/>
          <w:color w:val="auto"/>
          <w:szCs w:val="21"/>
          <w:highlight w:val="none"/>
        </w:rPr>
      </w:pPr>
      <w:r>
        <w:rPr>
          <w:rFonts w:hint="eastAsia" w:ascii="宋体" w:hAnsi="宋体"/>
          <w:color w:val="auto"/>
          <w:szCs w:val="21"/>
          <w:highlight w:val="none"/>
        </w:rPr>
        <w:t>关于出入现场的权利的约定：</w:t>
      </w:r>
      <w:r>
        <w:rPr>
          <w:rFonts w:hint="eastAsia" w:ascii="宋体" w:hAnsi="宋体"/>
          <w:color w:val="auto"/>
          <w:szCs w:val="21"/>
          <w:highlight w:val="none"/>
          <w:u w:val="single"/>
        </w:rPr>
        <w:t>按发包人和</w:t>
      </w:r>
      <w:r>
        <w:rPr>
          <w:rFonts w:ascii="宋体" w:hAnsi="宋体"/>
          <w:color w:val="auto"/>
          <w:szCs w:val="21"/>
          <w:highlight w:val="none"/>
          <w:u w:val="single"/>
        </w:rPr>
        <w:t>相关规定</w:t>
      </w:r>
      <w:r>
        <w:rPr>
          <w:rFonts w:hint="eastAsia" w:ascii="宋体" w:hAnsi="宋体"/>
          <w:color w:val="auto"/>
          <w:szCs w:val="21"/>
          <w:highlight w:val="none"/>
          <w:u w:val="single"/>
        </w:rPr>
        <w:t>要求</w:t>
      </w:r>
      <w:r>
        <w:rPr>
          <w:rFonts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7.1.2 </w:t>
      </w:r>
      <w:r>
        <w:rPr>
          <w:rFonts w:hint="eastAsia" w:ascii="宋体" w:hAnsi="宋体"/>
          <w:color w:val="auto"/>
          <w:szCs w:val="21"/>
          <w:highlight w:val="none"/>
        </w:rPr>
        <w:t>场外交通</w:t>
      </w:r>
    </w:p>
    <w:p>
      <w:pPr>
        <w:spacing w:line="360" w:lineRule="auto"/>
        <w:ind w:firstLine="420"/>
        <w:rPr>
          <w:rFonts w:ascii="宋体" w:hAnsi="宋体"/>
          <w:color w:val="auto"/>
          <w:szCs w:val="21"/>
          <w:highlight w:val="none"/>
        </w:rPr>
      </w:pPr>
      <w:r>
        <w:rPr>
          <w:rFonts w:hint="eastAsia" w:ascii="宋体" w:hAnsi="宋体"/>
          <w:color w:val="auto"/>
          <w:szCs w:val="21"/>
          <w:highlight w:val="none"/>
        </w:rPr>
        <w:t>关于场外交通的特别约定：</w:t>
      </w:r>
      <w:r>
        <w:rPr>
          <w:rFonts w:hint="eastAsia" w:ascii="宋体" w:hAnsi="宋体"/>
          <w:color w:val="auto"/>
          <w:szCs w:val="21"/>
          <w:highlight w:val="none"/>
          <w:u w:val="single"/>
        </w:rPr>
        <w:t>按发包人和</w:t>
      </w:r>
      <w:r>
        <w:rPr>
          <w:rFonts w:ascii="宋体" w:hAnsi="宋体"/>
          <w:color w:val="auto"/>
          <w:szCs w:val="21"/>
          <w:highlight w:val="none"/>
          <w:u w:val="single"/>
        </w:rPr>
        <w:t>相关规定</w:t>
      </w:r>
      <w:r>
        <w:rPr>
          <w:rFonts w:hint="eastAsia" w:ascii="宋体" w:hAnsi="宋体"/>
          <w:color w:val="auto"/>
          <w:szCs w:val="21"/>
          <w:highlight w:val="none"/>
          <w:u w:val="single"/>
        </w:rPr>
        <w:t>要求</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7.1.3 </w:t>
      </w:r>
      <w:r>
        <w:rPr>
          <w:rFonts w:hint="eastAsia" w:ascii="宋体" w:hAnsi="宋体"/>
          <w:color w:val="auto"/>
          <w:szCs w:val="21"/>
          <w:highlight w:val="none"/>
        </w:rPr>
        <w:t>场内交通</w:t>
      </w:r>
    </w:p>
    <w:p>
      <w:pPr>
        <w:spacing w:line="360" w:lineRule="auto"/>
        <w:ind w:firstLine="420"/>
        <w:rPr>
          <w:rFonts w:ascii="宋体" w:hAnsi="宋体"/>
          <w:color w:val="auto"/>
          <w:szCs w:val="21"/>
          <w:highlight w:val="none"/>
        </w:rPr>
      </w:pPr>
      <w:r>
        <w:rPr>
          <w:rFonts w:hint="eastAsia" w:ascii="宋体" w:hAnsi="宋体"/>
          <w:color w:val="auto"/>
          <w:szCs w:val="21"/>
          <w:highlight w:val="none"/>
        </w:rPr>
        <w:t>关于场内交通的特别约定：</w:t>
      </w:r>
      <w:r>
        <w:rPr>
          <w:rFonts w:hint="eastAsia" w:ascii="宋体" w:hAnsi="宋体"/>
          <w:color w:val="auto"/>
          <w:szCs w:val="21"/>
          <w:highlight w:val="none"/>
          <w:u w:val="single"/>
        </w:rPr>
        <w:t>按通用条款</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关于场内交通与场外交通边界的约定：</w:t>
      </w:r>
      <w:r>
        <w:rPr>
          <w:rFonts w:hint="eastAsia" w:ascii="宋体" w:hAnsi="宋体"/>
          <w:color w:val="auto"/>
          <w:szCs w:val="21"/>
          <w:highlight w:val="none"/>
          <w:u w:val="single"/>
        </w:rPr>
        <w:t>按通用条款</w:t>
      </w:r>
      <w:r>
        <w:rPr>
          <w:rFonts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7.1.4 </w:t>
      </w:r>
      <w:r>
        <w:rPr>
          <w:rFonts w:hint="eastAsia" w:ascii="宋体" w:hAnsi="宋体"/>
          <w:color w:val="auto"/>
          <w:szCs w:val="21"/>
          <w:highlight w:val="none"/>
        </w:rPr>
        <w:t>超大件和超重件的运输</w:t>
      </w:r>
    </w:p>
    <w:p>
      <w:pPr>
        <w:spacing w:line="360" w:lineRule="auto"/>
        <w:ind w:firstLine="420"/>
        <w:rPr>
          <w:rFonts w:ascii="宋体" w:hAnsi="宋体"/>
          <w:color w:val="auto"/>
          <w:szCs w:val="21"/>
          <w:highlight w:val="none"/>
        </w:rPr>
      </w:pPr>
      <w:r>
        <w:rPr>
          <w:rFonts w:hint="eastAsia" w:ascii="宋体" w:hAnsi="宋体"/>
          <w:color w:val="auto"/>
          <w:szCs w:val="21"/>
          <w:highlight w:val="none"/>
        </w:rPr>
        <w:t>运输超大件或超重件所需的道路和桥梁临时加固改造费用和其他有关费用由</w:t>
      </w:r>
      <w:r>
        <w:rPr>
          <w:rFonts w:hint="eastAsia" w:ascii="宋体" w:hAnsi="宋体"/>
          <w:color w:val="auto"/>
          <w:szCs w:val="21"/>
          <w:highlight w:val="none"/>
          <w:u w:val="single"/>
        </w:rPr>
        <w:t>承包人</w:t>
      </w:r>
      <w:r>
        <w:rPr>
          <w:rFonts w:ascii="宋体" w:hAnsi="宋体"/>
          <w:color w:val="auto"/>
          <w:szCs w:val="21"/>
          <w:highlight w:val="none"/>
        </w:rPr>
        <w:t>承担。</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7.2 </w:t>
      </w:r>
      <w:r>
        <w:rPr>
          <w:rFonts w:hint="eastAsia" w:ascii="宋体" w:hAnsi="宋体"/>
          <w:color w:val="auto"/>
          <w:szCs w:val="21"/>
          <w:highlight w:val="none"/>
        </w:rPr>
        <w:t>施工设备和临时设施</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7.2.1 </w:t>
      </w:r>
      <w:r>
        <w:rPr>
          <w:rFonts w:hint="eastAsia" w:ascii="宋体" w:hAnsi="宋体"/>
          <w:color w:val="auto"/>
          <w:szCs w:val="21"/>
          <w:highlight w:val="none"/>
        </w:rPr>
        <w:t>承包人提供的施工设备和临时设施</w:t>
      </w:r>
    </w:p>
    <w:p>
      <w:pPr>
        <w:spacing w:line="360" w:lineRule="auto"/>
        <w:ind w:firstLine="420"/>
        <w:rPr>
          <w:rFonts w:ascii="宋体" w:hAnsi="宋体"/>
          <w:color w:val="auto"/>
          <w:szCs w:val="21"/>
          <w:highlight w:val="none"/>
        </w:rPr>
      </w:pPr>
      <w:r>
        <w:rPr>
          <w:rFonts w:hint="eastAsia" w:ascii="宋体" w:hAnsi="宋体"/>
          <w:color w:val="auto"/>
          <w:szCs w:val="21"/>
          <w:highlight w:val="none"/>
        </w:rPr>
        <w:t>临时设施的费用和临时占地手续和费用承担的特别约定：</w:t>
      </w:r>
      <w:r>
        <w:rPr>
          <w:rFonts w:hint="eastAsia" w:ascii="宋体" w:hAnsi="宋体"/>
          <w:color w:val="auto"/>
          <w:szCs w:val="21"/>
          <w:highlight w:val="none"/>
          <w:u w:val="single"/>
        </w:rPr>
        <w:t>由承包人</w:t>
      </w:r>
      <w:r>
        <w:rPr>
          <w:rFonts w:ascii="宋体" w:hAnsi="宋体"/>
          <w:color w:val="auto"/>
          <w:szCs w:val="21"/>
          <w:highlight w:val="none"/>
          <w:u w:val="single"/>
        </w:rPr>
        <w:t>承担</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7.2.2 </w:t>
      </w:r>
      <w:r>
        <w:rPr>
          <w:rFonts w:hint="eastAsia" w:ascii="宋体" w:hAnsi="宋体"/>
          <w:color w:val="auto"/>
          <w:szCs w:val="21"/>
          <w:highlight w:val="none"/>
        </w:rPr>
        <w:t>发包人提供的施工设备和临时设施</w:t>
      </w:r>
    </w:p>
    <w:p>
      <w:pPr>
        <w:spacing w:line="360" w:lineRule="auto"/>
        <w:ind w:firstLine="420"/>
        <w:rPr>
          <w:rFonts w:ascii="宋体" w:hAnsi="宋体"/>
          <w:color w:val="auto"/>
          <w:szCs w:val="21"/>
          <w:highlight w:val="none"/>
        </w:rPr>
      </w:pPr>
      <w:r>
        <w:rPr>
          <w:rFonts w:hint="eastAsia" w:ascii="宋体" w:hAnsi="宋体"/>
          <w:color w:val="auto"/>
          <w:szCs w:val="21"/>
          <w:highlight w:val="none"/>
        </w:rPr>
        <w:t>发包人提供的施工设备或临时设施范围：</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7.3 </w:t>
      </w:r>
      <w:r>
        <w:rPr>
          <w:rFonts w:hint="eastAsia" w:ascii="宋体" w:hAnsi="宋体"/>
          <w:color w:val="auto"/>
          <w:szCs w:val="21"/>
          <w:highlight w:val="none"/>
        </w:rPr>
        <w:t>现场合作</w:t>
      </w:r>
    </w:p>
    <w:p>
      <w:pPr>
        <w:spacing w:line="360" w:lineRule="auto"/>
        <w:ind w:firstLine="420"/>
        <w:rPr>
          <w:rFonts w:ascii="宋体" w:hAnsi="宋体"/>
          <w:color w:val="auto"/>
          <w:szCs w:val="21"/>
          <w:highlight w:val="none"/>
        </w:rPr>
      </w:pPr>
      <w:r>
        <w:rPr>
          <w:rFonts w:hint="eastAsia" w:ascii="宋体" w:hAnsi="宋体"/>
          <w:color w:val="auto"/>
          <w:szCs w:val="21"/>
          <w:highlight w:val="none"/>
        </w:rPr>
        <w:t>关于现场合作费用的特别约定：</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7.4 </w:t>
      </w:r>
      <w:r>
        <w:rPr>
          <w:rFonts w:hint="eastAsia" w:ascii="宋体" w:hAnsi="宋体"/>
          <w:color w:val="auto"/>
          <w:szCs w:val="21"/>
          <w:highlight w:val="none"/>
        </w:rPr>
        <w:t>测量放线</w:t>
      </w:r>
    </w:p>
    <w:p>
      <w:pPr>
        <w:spacing w:line="360" w:lineRule="auto"/>
        <w:ind w:firstLine="420"/>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 xml:space="preserve">.4.1 </w:t>
      </w:r>
      <w:r>
        <w:rPr>
          <w:rFonts w:hint="eastAsia" w:ascii="宋体" w:hAnsi="宋体"/>
          <w:color w:val="auto"/>
          <w:szCs w:val="21"/>
          <w:highlight w:val="none"/>
        </w:rPr>
        <w:t>关于测量放线的特别约定的技术规范：</w:t>
      </w:r>
      <w:r>
        <w:rPr>
          <w:rFonts w:hint="eastAsia" w:ascii="宋体" w:hAnsi="宋体"/>
          <w:color w:val="auto"/>
          <w:szCs w:val="21"/>
          <w:highlight w:val="none"/>
          <w:u w:val="single"/>
        </w:rPr>
        <w:t>按相关</w:t>
      </w:r>
      <w:r>
        <w:rPr>
          <w:rFonts w:ascii="宋体" w:hAnsi="宋体"/>
          <w:color w:val="auto"/>
          <w:szCs w:val="21"/>
          <w:highlight w:val="none"/>
          <w:u w:val="single"/>
        </w:rPr>
        <w:t>的规范要求</w:t>
      </w:r>
      <w:r>
        <w:rPr>
          <w:rFonts w:hint="eastAsia" w:ascii="宋体" w:hAnsi="宋体"/>
          <w:color w:val="auto"/>
          <w:szCs w:val="21"/>
          <w:highlight w:val="none"/>
        </w:rPr>
        <w:t>。施工控制网资料的告知期限：</w:t>
      </w:r>
      <w:r>
        <w:rPr>
          <w:rFonts w:hint="eastAsia" w:ascii="宋体" w:hAnsi="宋体"/>
          <w:color w:val="auto"/>
          <w:szCs w:val="21"/>
          <w:highlight w:val="none"/>
          <w:u w:val="single"/>
        </w:rPr>
        <w:t>按施工</w:t>
      </w:r>
      <w:r>
        <w:rPr>
          <w:rFonts w:ascii="宋体" w:hAnsi="宋体"/>
          <w:color w:val="auto"/>
          <w:szCs w:val="21"/>
          <w:highlight w:val="none"/>
          <w:u w:val="single"/>
        </w:rPr>
        <w:t>组织设计</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7.5 </w:t>
      </w:r>
      <w:r>
        <w:rPr>
          <w:rFonts w:hint="eastAsia" w:ascii="宋体" w:hAnsi="宋体"/>
          <w:color w:val="auto"/>
          <w:szCs w:val="21"/>
          <w:highlight w:val="none"/>
        </w:rPr>
        <w:t>现场劳动用工</w:t>
      </w:r>
    </w:p>
    <w:p>
      <w:pPr>
        <w:spacing w:line="360" w:lineRule="auto"/>
        <w:ind w:firstLine="420"/>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 xml:space="preserve">.5.2 </w:t>
      </w:r>
      <w:r>
        <w:rPr>
          <w:rFonts w:hint="eastAsia" w:ascii="宋体" w:hAnsi="宋体"/>
          <w:color w:val="auto"/>
          <w:szCs w:val="21"/>
          <w:highlight w:val="none"/>
        </w:rPr>
        <w:t>合同当事人对建筑工人工资清偿事宜和违约责任的约定：</w:t>
      </w:r>
      <w:r>
        <w:rPr>
          <w:rFonts w:hint="eastAsia" w:ascii="宋体" w:hAnsi="宋体"/>
          <w:color w:val="auto"/>
          <w:szCs w:val="21"/>
          <w:highlight w:val="none"/>
          <w:u w:val="single"/>
        </w:rPr>
        <w:t>由承包人</w:t>
      </w:r>
      <w:r>
        <w:rPr>
          <w:rFonts w:ascii="宋体" w:hAnsi="宋体"/>
          <w:color w:val="auto"/>
          <w:szCs w:val="21"/>
          <w:highlight w:val="none"/>
          <w:u w:val="single"/>
        </w:rPr>
        <w:t>承担</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7.6 </w:t>
      </w:r>
      <w:r>
        <w:rPr>
          <w:rFonts w:hint="eastAsia" w:ascii="宋体" w:hAnsi="宋体"/>
          <w:color w:val="auto"/>
          <w:szCs w:val="21"/>
          <w:highlight w:val="none"/>
        </w:rPr>
        <w:t>安全文明施工</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7.6.1 </w:t>
      </w:r>
      <w:r>
        <w:rPr>
          <w:rFonts w:hint="eastAsia" w:ascii="宋体" w:hAnsi="宋体"/>
          <w:color w:val="auto"/>
          <w:szCs w:val="21"/>
          <w:highlight w:val="none"/>
        </w:rPr>
        <w:t>安全生产要求</w:t>
      </w:r>
    </w:p>
    <w:p>
      <w:pPr>
        <w:spacing w:line="360" w:lineRule="auto"/>
        <w:ind w:left="124" w:leftChars="59" w:firstLine="420"/>
        <w:rPr>
          <w:rFonts w:ascii="宋体" w:hAnsi="宋体"/>
          <w:color w:val="auto"/>
          <w:szCs w:val="21"/>
          <w:highlight w:val="none"/>
        </w:rPr>
      </w:pPr>
      <w:r>
        <w:rPr>
          <w:rFonts w:hint="eastAsia" w:ascii="宋体" w:hAnsi="宋体"/>
          <w:color w:val="auto"/>
          <w:szCs w:val="21"/>
          <w:highlight w:val="none"/>
        </w:rPr>
        <w:t>合同当事人对安全施工的要求：</w:t>
      </w:r>
      <w:r>
        <w:rPr>
          <w:rFonts w:hint="eastAsia" w:ascii="宋体" w:hAnsi="宋体"/>
          <w:color w:val="auto"/>
          <w:szCs w:val="21"/>
          <w:highlight w:val="none"/>
          <w:u w:val="single"/>
        </w:rPr>
        <w:t>按相关</w:t>
      </w:r>
      <w:r>
        <w:rPr>
          <w:rFonts w:ascii="宋体" w:hAnsi="宋体"/>
          <w:color w:val="auto"/>
          <w:szCs w:val="21"/>
          <w:highlight w:val="none"/>
          <w:u w:val="single"/>
        </w:rPr>
        <w:t>的</w:t>
      </w:r>
      <w:r>
        <w:rPr>
          <w:rFonts w:hint="eastAsia" w:ascii="宋体" w:hAnsi="宋体"/>
          <w:color w:val="auto"/>
          <w:szCs w:val="21"/>
          <w:highlight w:val="none"/>
          <w:u w:val="single"/>
        </w:rPr>
        <w:t>规定</w:t>
      </w:r>
      <w:r>
        <w:rPr>
          <w:rFonts w:ascii="宋体" w:hAnsi="宋体"/>
          <w:color w:val="auto"/>
          <w:szCs w:val="21"/>
          <w:highlight w:val="none"/>
          <w:u w:val="single"/>
        </w:rPr>
        <w:t>要求</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7.6.3 </w:t>
      </w:r>
      <w:r>
        <w:rPr>
          <w:rFonts w:hint="eastAsia" w:ascii="宋体" w:hAnsi="宋体"/>
          <w:color w:val="auto"/>
          <w:szCs w:val="21"/>
          <w:highlight w:val="none"/>
        </w:rPr>
        <w:t>文明施工</w:t>
      </w:r>
    </w:p>
    <w:p>
      <w:pPr>
        <w:spacing w:line="360" w:lineRule="auto"/>
        <w:ind w:firstLine="420"/>
        <w:rPr>
          <w:rFonts w:ascii="宋体" w:hAnsi="宋体"/>
          <w:color w:val="auto"/>
          <w:szCs w:val="21"/>
          <w:highlight w:val="none"/>
        </w:rPr>
      </w:pPr>
      <w:r>
        <w:rPr>
          <w:rFonts w:hint="eastAsia" w:ascii="宋体" w:hAnsi="宋体"/>
          <w:color w:val="auto"/>
          <w:szCs w:val="21"/>
          <w:highlight w:val="none"/>
        </w:rPr>
        <w:t>合同当事人对文明施工的要求：</w:t>
      </w:r>
      <w:r>
        <w:rPr>
          <w:rFonts w:hint="eastAsia" w:ascii="宋体" w:hAnsi="宋体"/>
          <w:color w:val="auto"/>
          <w:szCs w:val="21"/>
          <w:highlight w:val="none"/>
          <w:u w:val="single"/>
        </w:rPr>
        <w:t>按相关</w:t>
      </w:r>
      <w:r>
        <w:rPr>
          <w:rFonts w:ascii="宋体" w:hAnsi="宋体"/>
          <w:color w:val="auto"/>
          <w:szCs w:val="21"/>
          <w:highlight w:val="none"/>
          <w:u w:val="single"/>
        </w:rPr>
        <w:t>的</w:t>
      </w:r>
      <w:r>
        <w:rPr>
          <w:rFonts w:hint="eastAsia" w:ascii="宋体" w:hAnsi="宋体"/>
          <w:color w:val="auto"/>
          <w:szCs w:val="21"/>
          <w:highlight w:val="none"/>
          <w:u w:val="single"/>
        </w:rPr>
        <w:t>规定</w:t>
      </w:r>
      <w:r>
        <w:rPr>
          <w:rFonts w:ascii="宋体" w:hAnsi="宋体"/>
          <w:color w:val="auto"/>
          <w:szCs w:val="21"/>
          <w:highlight w:val="none"/>
          <w:u w:val="single"/>
        </w:rPr>
        <w:t>要求</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7.9 </w:t>
      </w:r>
      <w:r>
        <w:rPr>
          <w:rFonts w:hint="eastAsia" w:ascii="宋体" w:hAnsi="宋体"/>
          <w:color w:val="auto"/>
          <w:szCs w:val="21"/>
          <w:highlight w:val="none"/>
        </w:rPr>
        <w:t>临时性公用设施</w:t>
      </w:r>
    </w:p>
    <w:p>
      <w:pPr>
        <w:spacing w:line="360" w:lineRule="auto"/>
        <w:ind w:firstLine="420"/>
        <w:rPr>
          <w:rFonts w:ascii="宋体" w:hAnsi="宋体"/>
          <w:color w:val="auto"/>
          <w:szCs w:val="21"/>
          <w:highlight w:val="none"/>
        </w:rPr>
      </w:pPr>
      <w:r>
        <w:rPr>
          <w:rFonts w:hint="eastAsia" w:ascii="宋体" w:hAnsi="宋体"/>
          <w:color w:val="auto"/>
          <w:szCs w:val="21"/>
          <w:highlight w:val="none"/>
        </w:rPr>
        <w:t>关于临时性公用设施的特别约定：</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7.10 </w:t>
      </w:r>
      <w:r>
        <w:rPr>
          <w:rFonts w:hint="eastAsia" w:ascii="宋体" w:hAnsi="宋体"/>
          <w:color w:val="auto"/>
          <w:szCs w:val="21"/>
          <w:highlight w:val="none"/>
        </w:rPr>
        <w:t>现场安保</w:t>
      </w:r>
    </w:p>
    <w:p>
      <w:pPr>
        <w:spacing w:line="360" w:lineRule="auto"/>
        <w:ind w:firstLine="420"/>
        <w:rPr>
          <w:rFonts w:ascii="宋体" w:hAnsi="宋体"/>
          <w:color w:val="auto"/>
          <w:szCs w:val="21"/>
          <w:highlight w:val="none"/>
        </w:rPr>
      </w:pPr>
      <w:r>
        <w:rPr>
          <w:rFonts w:hint="eastAsia" w:ascii="宋体" w:hAnsi="宋体"/>
          <w:color w:val="auto"/>
          <w:szCs w:val="21"/>
          <w:highlight w:val="none"/>
        </w:rPr>
        <w:t>承包人现场安保义务的特别约定：</w:t>
      </w:r>
      <w:r>
        <w:rPr>
          <w:rFonts w:ascii="宋体" w:hAnsi="宋体"/>
          <w:color w:val="auto"/>
          <w:szCs w:val="21"/>
          <w:highlight w:val="none"/>
          <w:u w:val="single"/>
        </w:rPr>
        <w:t xml:space="preserve">    /     </w:t>
      </w:r>
      <w:r>
        <w:rPr>
          <w:rFonts w:ascii="宋体" w:hAnsi="宋体"/>
          <w:color w:val="auto"/>
          <w:szCs w:val="21"/>
          <w:highlight w:val="none"/>
        </w:rPr>
        <w:t>。</w:t>
      </w:r>
    </w:p>
    <w:p>
      <w:pPr>
        <w:pStyle w:val="246"/>
        <w:spacing w:after="120"/>
        <w:ind w:firstLine="420"/>
        <w:outlineLvl w:val="9"/>
        <w:rPr>
          <w:b w:val="0"/>
          <w:bCs/>
          <w:color w:val="auto"/>
          <w:sz w:val="21"/>
          <w:szCs w:val="21"/>
          <w:highlight w:val="none"/>
        </w:rPr>
      </w:pPr>
      <w:bookmarkStart w:id="41" w:name="_Toc54862339"/>
      <w:r>
        <w:rPr>
          <w:rFonts w:hint="eastAsia"/>
          <w:b w:val="0"/>
          <w:bCs/>
          <w:color w:val="auto"/>
          <w:sz w:val="21"/>
          <w:szCs w:val="21"/>
          <w:highlight w:val="none"/>
        </w:rPr>
        <w:t>第</w:t>
      </w:r>
      <w:r>
        <w:rPr>
          <w:b w:val="0"/>
          <w:bCs/>
          <w:color w:val="auto"/>
          <w:sz w:val="21"/>
          <w:szCs w:val="21"/>
          <w:highlight w:val="none"/>
        </w:rPr>
        <w:t>8条</w:t>
      </w:r>
      <w:r>
        <w:rPr>
          <w:rFonts w:hint="eastAsia"/>
          <w:b w:val="0"/>
          <w:bCs/>
          <w:color w:val="auto"/>
          <w:sz w:val="21"/>
          <w:szCs w:val="21"/>
          <w:highlight w:val="none"/>
        </w:rPr>
        <w:t xml:space="preserve"> 工期和进度</w:t>
      </w:r>
      <w:bookmarkEnd w:id="41"/>
    </w:p>
    <w:p>
      <w:pPr>
        <w:spacing w:line="360" w:lineRule="auto"/>
        <w:ind w:firstLine="420"/>
        <w:rPr>
          <w:rFonts w:ascii="宋体" w:hAnsi="宋体"/>
          <w:color w:val="auto"/>
          <w:szCs w:val="21"/>
          <w:highlight w:val="none"/>
        </w:rPr>
      </w:pPr>
      <w:r>
        <w:rPr>
          <w:rFonts w:ascii="宋体" w:hAnsi="宋体"/>
          <w:color w:val="auto"/>
          <w:szCs w:val="21"/>
          <w:highlight w:val="none"/>
        </w:rPr>
        <w:t xml:space="preserve">8.1 </w:t>
      </w:r>
      <w:r>
        <w:rPr>
          <w:rFonts w:hint="eastAsia" w:ascii="宋体" w:hAnsi="宋体"/>
          <w:color w:val="auto"/>
          <w:szCs w:val="21"/>
          <w:highlight w:val="none"/>
        </w:rPr>
        <w:t>开始工作</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8.1.1 </w:t>
      </w:r>
      <w:r>
        <w:rPr>
          <w:rFonts w:hint="eastAsia" w:ascii="宋体" w:hAnsi="宋体"/>
          <w:color w:val="auto"/>
          <w:szCs w:val="21"/>
          <w:highlight w:val="none"/>
        </w:rPr>
        <w:t>开始准备工作：</w:t>
      </w:r>
      <w:r>
        <w:rPr>
          <w:rFonts w:hint="eastAsia" w:ascii="宋体" w:hAnsi="宋体"/>
          <w:color w:val="auto"/>
          <w:szCs w:val="21"/>
          <w:highlight w:val="none"/>
          <w:u w:val="single"/>
        </w:rPr>
        <w:t>按发包人要求</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8.1.2 </w:t>
      </w:r>
      <w:r>
        <w:rPr>
          <w:rFonts w:hint="eastAsia" w:ascii="宋体" w:hAnsi="宋体"/>
          <w:color w:val="auto"/>
          <w:szCs w:val="21"/>
          <w:highlight w:val="none"/>
        </w:rPr>
        <w:t>发包人可在计划开始工作之日起</w:t>
      </w:r>
      <w:r>
        <w:rPr>
          <w:rFonts w:ascii="宋体" w:hAnsi="宋体"/>
          <w:color w:val="auto"/>
          <w:szCs w:val="21"/>
          <w:highlight w:val="none"/>
        </w:rPr>
        <w:t>84</w:t>
      </w:r>
      <w:r>
        <w:rPr>
          <w:rFonts w:hint="eastAsia" w:ascii="宋体" w:hAnsi="宋体"/>
          <w:color w:val="auto"/>
          <w:szCs w:val="21"/>
          <w:highlight w:val="none"/>
        </w:rPr>
        <w:t>日后发出开始工作通知的特殊情形：</w:t>
      </w:r>
      <w:r>
        <w:rPr>
          <w:rFonts w:hint="eastAsia" w:ascii="宋体" w:hAnsi="宋体"/>
          <w:color w:val="auto"/>
          <w:szCs w:val="21"/>
          <w:highlight w:val="none"/>
          <w:u w:val="single"/>
        </w:rPr>
        <w:t>政策因素</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8.2 </w:t>
      </w:r>
      <w:r>
        <w:rPr>
          <w:rFonts w:hint="eastAsia" w:ascii="宋体" w:hAnsi="宋体"/>
          <w:color w:val="auto"/>
          <w:szCs w:val="21"/>
          <w:highlight w:val="none"/>
        </w:rPr>
        <w:t>竣工日期</w:t>
      </w:r>
    </w:p>
    <w:p>
      <w:pPr>
        <w:spacing w:line="360" w:lineRule="auto"/>
        <w:ind w:firstLine="420"/>
        <w:rPr>
          <w:rFonts w:ascii="宋体" w:hAnsi="宋体"/>
          <w:color w:val="auto"/>
          <w:szCs w:val="21"/>
          <w:highlight w:val="none"/>
        </w:rPr>
      </w:pPr>
      <w:r>
        <w:rPr>
          <w:rFonts w:hint="eastAsia" w:ascii="宋体" w:hAnsi="宋体"/>
          <w:color w:val="auto"/>
          <w:szCs w:val="21"/>
          <w:highlight w:val="none"/>
        </w:rPr>
        <w:t>竣工日期的约定：</w:t>
      </w:r>
      <w:r>
        <w:rPr>
          <w:rFonts w:hint="eastAsia" w:ascii="宋体" w:hAnsi="宋体"/>
          <w:color w:val="auto"/>
          <w:szCs w:val="21"/>
          <w:highlight w:val="none"/>
          <w:u w:val="single"/>
        </w:rPr>
        <w:t>按合同</w:t>
      </w:r>
      <w:r>
        <w:rPr>
          <w:rFonts w:ascii="宋体" w:hAnsi="宋体"/>
          <w:color w:val="auto"/>
          <w:szCs w:val="21"/>
          <w:highlight w:val="none"/>
          <w:u w:val="single"/>
        </w:rPr>
        <w:t>工期</w:t>
      </w:r>
      <w:r>
        <w:rPr>
          <w:rFonts w:hint="eastAsia" w:ascii="宋体" w:hAnsi="宋体"/>
          <w:color w:val="auto"/>
          <w:szCs w:val="21"/>
          <w:highlight w:val="none"/>
          <w:u w:val="single"/>
        </w:rPr>
        <w:t>和通用条款</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8.3 </w:t>
      </w:r>
      <w:r>
        <w:rPr>
          <w:rFonts w:hint="eastAsia" w:ascii="宋体" w:hAnsi="宋体"/>
          <w:color w:val="auto"/>
          <w:szCs w:val="21"/>
          <w:highlight w:val="none"/>
        </w:rPr>
        <w:t>项目实施计划</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8.3.1 </w:t>
      </w:r>
      <w:r>
        <w:rPr>
          <w:rFonts w:hint="eastAsia" w:ascii="宋体" w:hAnsi="宋体"/>
          <w:color w:val="auto"/>
          <w:szCs w:val="21"/>
          <w:highlight w:val="none"/>
        </w:rPr>
        <w:t>项目实施计划的内容</w:t>
      </w:r>
    </w:p>
    <w:p>
      <w:pPr>
        <w:spacing w:line="360" w:lineRule="auto"/>
        <w:ind w:firstLine="420"/>
        <w:rPr>
          <w:rFonts w:ascii="宋体" w:hAnsi="宋体"/>
          <w:color w:val="auto"/>
          <w:szCs w:val="21"/>
          <w:highlight w:val="none"/>
        </w:rPr>
      </w:pPr>
      <w:r>
        <w:rPr>
          <w:rFonts w:hint="eastAsia" w:ascii="宋体" w:hAnsi="宋体"/>
          <w:color w:val="auto"/>
          <w:szCs w:val="21"/>
          <w:highlight w:val="none"/>
        </w:rPr>
        <w:t>项目实施计划的内容：</w:t>
      </w:r>
      <w:r>
        <w:rPr>
          <w:rFonts w:hint="eastAsia" w:ascii="宋体" w:hAnsi="宋体"/>
          <w:color w:val="auto"/>
          <w:szCs w:val="21"/>
          <w:highlight w:val="none"/>
          <w:u w:val="single"/>
        </w:rPr>
        <w:t>按通用条款</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8.3.2 </w:t>
      </w:r>
      <w:r>
        <w:rPr>
          <w:rFonts w:hint="eastAsia" w:ascii="宋体" w:hAnsi="宋体"/>
          <w:color w:val="auto"/>
          <w:szCs w:val="21"/>
          <w:highlight w:val="none"/>
        </w:rPr>
        <w:t>项目实施计划的提交和修改</w:t>
      </w:r>
    </w:p>
    <w:p>
      <w:pPr>
        <w:spacing w:line="360" w:lineRule="auto"/>
        <w:ind w:firstLine="420"/>
        <w:rPr>
          <w:rFonts w:ascii="宋体" w:hAnsi="宋体"/>
          <w:color w:val="auto"/>
          <w:szCs w:val="21"/>
          <w:highlight w:val="none"/>
        </w:rPr>
      </w:pPr>
      <w:r>
        <w:rPr>
          <w:rFonts w:hint="eastAsia" w:ascii="宋体" w:hAnsi="宋体"/>
          <w:color w:val="auto"/>
          <w:szCs w:val="21"/>
          <w:highlight w:val="none"/>
        </w:rPr>
        <w:t>项目实施计划的提交及修改期限：</w:t>
      </w:r>
      <w:r>
        <w:rPr>
          <w:rFonts w:hint="eastAsia" w:ascii="宋体" w:hAnsi="宋体"/>
          <w:color w:val="auto"/>
          <w:szCs w:val="21"/>
          <w:highlight w:val="none"/>
          <w:u w:val="single"/>
        </w:rPr>
        <w:t>按通用条款</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8.4 </w:t>
      </w:r>
      <w:r>
        <w:rPr>
          <w:rFonts w:hint="eastAsia" w:ascii="宋体" w:hAnsi="宋体"/>
          <w:color w:val="auto"/>
          <w:szCs w:val="21"/>
          <w:highlight w:val="none"/>
        </w:rPr>
        <w:t>项目进度计划</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8.4.1 </w:t>
      </w:r>
      <w:r>
        <w:rPr>
          <w:rFonts w:hint="eastAsia" w:ascii="宋体" w:hAnsi="宋体"/>
          <w:color w:val="auto"/>
          <w:szCs w:val="21"/>
          <w:highlight w:val="none"/>
        </w:rPr>
        <w:t>工程师在收到进度计划后确认或提出修改意见的期限：</w:t>
      </w:r>
      <w:r>
        <w:rPr>
          <w:rFonts w:hint="eastAsia" w:ascii="宋体" w:hAnsi="宋体"/>
          <w:color w:val="auto"/>
          <w:szCs w:val="21"/>
          <w:highlight w:val="none"/>
          <w:u w:val="single"/>
        </w:rPr>
        <w:t>按通用条款</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8.4.2 </w:t>
      </w:r>
      <w:r>
        <w:rPr>
          <w:rFonts w:hint="eastAsia" w:ascii="宋体" w:hAnsi="宋体"/>
          <w:color w:val="auto"/>
          <w:szCs w:val="21"/>
          <w:highlight w:val="none"/>
        </w:rPr>
        <w:t>进度计划的具体要求：</w:t>
      </w:r>
      <w:r>
        <w:rPr>
          <w:rFonts w:hint="eastAsia" w:ascii="宋体" w:hAnsi="宋体"/>
          <w:color w:val="auto"/>
          <w:szCs w:val="21"/>
          <w:highlight w:val="none"/>
          <w:u w:val="single"/>
        </w:rPr>
        <w:t>按通用条款</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关键路径及关键路径变化的确定原则：</w:t>
      </w:r>
      <w:r>
        <w:rPr>
          <w:rFonts w:hint="eastAsia" w:ascii="宋体" w:hAnsi="宋体"/>
          <w:color w:val="auto"/>
          <w:szCs w:val="21"/>
          <w:highlight w:val="none"/>
          <w:u w:val="single"/>
        </w:rPr>
        <w:t>按通用条款</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承包人提交项目进度计划的份数和时间：</w:t>
      </w:r>
      <w:r>
        <w:rPr>
          <w:rFonts w:hint="eastAsia" w:ascii="宋体" w:hAnsi="宋体"/>
          <w:color w:val="auto"/>
          <w:szCs w:val="21"/>
          <w:highlight w:val="none"/>
          <w:u w:val="single"/>
        </w:rPr>
        <w:t>按发包人要求</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8.4.3 </w:t>
      </w:r>
      <w:r>
        <w:rPr>
          <w:rFonts w:hint="eastAsia" w:ascii="宋体" w:hAnsi="宋体"/>
          <w:color w:val="auto"/>
          <w:szCs w:val="21"/>
          <w:highlight w:val="none"/>
        </w:rPr>
        <w:t>进度计划的修订</w:t>
      </w:r>
    </w:p>
    <w:p>
      <w:pPr>
        <w:spacing w:line="360" w:lineRule="auto"/>
        <w:ind w:firstLine="420"/>
        <w:rPr>
          <w:rFonts w:ascii="宋体" w:hAnsi="宋体"/>
          <w:color w:val="auto"/>
          <w:szCs w:val="21"/>
          <w:highlight w:val="none"/>
        </w:rPr>
      </w:pPr>
      <w:r>
        <w:rPr>
          <w:rFonts w:hint="eastAsia" w:ascii="宋体" w:hAnsi="宋体"/>
          <w:color w:val="auto"/>
          <w:szCs w:val="21"/>
          <w:highlight w:val="none"/>
        </w:rPr>
        <w:t>承包人提交修订</w:t>
      </w:r>
      <w:r>
        <w:rPr>
          <w:rFonts w:ascii="宋体" w:hAnsi="宋体"/>
          <w:color w:val="auto"/>
          <w:szCs w:val="21"/>
          <w:highlight w:val="none"/>
        </w:rPr>
        <w:t>项目进度计划</w:t>
      </w:r>
      <w:r>
        <w:rPr>
          <w:rFonts w:hint="eastAsia" w:ascii="宋体" w:hAnsi="宋体"/>
          <w:color w:val="auto"/>
          <w:szCs w:val="21"/>
          <w:highlight w:val="none"/>
        </w:rPr>
        <w:t>申请报告的期限：</w:t>
      </w:r>
      <w:r>
        <w:rPr>
          <w:rFonts w:hint="eastAsia" w:ascii="宋体" w:hAnsi="宋体"/>
          <w:color w:val="auto"/>
          <w:szCs w:val="21"/>
          <w:highlight w:val="none"/>
          <w:u w:val="single"/>
        </w:rPr>
        <w:t>按通用条款</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发包人批复修订</w:t>
      </w:r>
      <w:r>
        <w:rPr>
          <w:rFonts w:ascii="宋体" w:hAnsi="宋体"/>
          <w:color w:val="auto"/>
          <w:szCs w:val="21"/>
          <w:highlight w:val="none"/>
        </w:rPr>
        <w:t>项目进度计划</w:t>
      </w:r>
      <w:r>
        <w:rPr>
          <w:rFonts w:hint="eastAsia" w:ascii="宋体" w:hAnsi="宋体"/>
          <w:color w:val="auto"/>
          <w:szCs w:val="21"/>
          <w:highlight w:val="none"/>
        </w:rPr>
        <w:t>申请报告的期限：</w:t>
      </w:r>
      <w:r>
        <w:rPr>
          <w:rFonts w:hint="eastAsia" w:ascii="宋体" w:hAnsi="宋体"/>
          <w:color w:val="auto"/>
          <w:szCs w:val="21"/>
          <w:highlight w:val="none"/>
          <w:u w:val="single"/>
        </w:rPr>
        <w:t>按通用条款</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承包人答复发包人提出修订合同计划的期限：</w:t>
      </w:r>
      <w:r>
        <w:rPr>
          <w:rFonts w:hint="eastAsia" w:ascii="宋体" w:hAnsi="宋体"/>
          <w:color w:val="auto"/>
          <w:szCs w:val="21"/>
          <w:highlight w:val="none"/>
          <w:u w:val="single"/>
        </w:rPr>
        <w:t>由双方协商确定</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8.5 </w:t>
      </w:r>
      <w:r>
        <w:rPr>
          <w:rFonts w:hint="eastAsia" w:ascii="宋体" w:hAnsi="宋体"/>
          <w:color w:val="auto"/>
          <w:szCs w:val="21"/>
          <w:highlight w:val="none"/>
        </w:rPr>
        <w:t>进度报告</w:t>
      </w:r>
    </w:p>
    <w:p>
      <w:pPr>
        <w:spacing w:line="360" w:lineRule="auto"/>
        <w:ind w:firstLine="420"/>
        <w:rPr>
          <w:rFonts w:ascii="宋体" w:hAnsi="宋体"/>
          <w:color w:val="auto"/>
          <w:szCs w:val="21"/>
          <w:highlight w:val="none"/>
        </w:rPr>
      </w:pPr>
      <w:r>
        <w:rPr>
          <w:rFonts w:hint="eastAsia" w:ascii="宋体" w:hAnsi="宋体"/>
          <w:color w:val="auto"/>
          <w:szCs w:val="21"/>
          <w:highlight w:val="none"/>
        </w:rPr>
        <w:t>进度报告的具体要求：</w:t>
      </w:r>
      <w:r>
        <w:rPr>
          <w:rFonts w:hint="eastAsia" w:ascii="宋体" w:hAnsi="宋体"/>
          <w:color w:val="auto"/>
          <w:szCs w:val="21"/>
          <w:highlight w:val="none"/>
          <w:u w:val="single"/>
        </w:rPr>
        <w:t>按通用条款</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8.7 </w:t>
      </w:r>
      <w:r>
        <w:rPr>
          <w:rFonts w:hint="eastAsia" w:ascii="宋体" w:hAnsi="宋体"/>
          <w:color w:val="auto"/>
          <w:szCs w:val="21"/>
          <w:highlight w:val="none"/>
        </w:rPr>
        <w:t>工期延误</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8.7.2 </w:t>
      </w:r>
      <w:r>
        <w:rPr>
          <w:rFonts w:hint="eastAsia" w:ascii="宋体" w:hAnsi="宋体"/>
          <w:color w:val="auto"/>
          <w:szCs w:val="21"/>
          <w:highlight w:val="none"/>
        </w:rPr>
        <w:t>因承包人原因导致工期延误</w:t>
      </w:r>
    </w:p>
    <w:p>
      <w:pPr>
        <w:spacing w:line="360" w:lineRule="auto"/>
        <w:ind w:firstLine="420"/>
        <w:rPr>
          <w:rFonts w:ascii="宋体" w:hAnsi="宋体"/>
          <w:color w:val="auto"/>
          <w:szCs w:val="21"/>
          <w:highlight w:val="none"/>
        </w:rPr>
      </w:pPr>
      <w:r>
        <w:rPr>
          <w:rFonts w:hint="eastAsia" w:ascii="宋体" w:hAnsi="宋体"/>
          <w:color w:val="auto"/>
          <w:szCs w:val="21"/>
          <w:highlight w:val="none"/>
        </w:rPr>
        <w:t>因承包人原因造成工期延误，逾期竣工违约金的计算方法为：每延误一天扣罚人民币500元； (工期计算以开工报告为起始时间，以竣工验收合格为结束时间,不可抗力因素除外)。</w:t>
      </w:r>
    </w:p>
    <w:p>
      <w:pPr>
        <w:spacing w:line="360" w:lineRule="auto"/>
        <w:ind w:firstLine="420"/>
        <w:rPr>
          <w:rFonts w:ascii="宋体" w:hAnsi="宋体"/>
          <w:color w:val="auto"/>
          <w:szCs w:val="21"/>
          <w:highlight w:val="none"/>
        </w:rPr>
      </w:pPr>
      <w:r>
        <w:rPr>
          <w:rFonts w:hint="eastAsia" w:ascii="宋体" w:hAnsi="宋体"/>
          <w:color w:val="auto"/>
          <w:szCs w:val="21"/>
          <w:highlight w:val="none"/>
        </w:rPr>
        <w:t>工程延误中间判定原则：发包人有理由认为延误工期在后续工作中已无法追回，承包人应承担由此引起的相应赔偿及费用。因发包人需要，使用功能改变、设计变更等所产生的工程量调整而导致的工期延误由承包人承担，发包人根据实际情况给予工期补偿。</w:t>
      </w:r>
    </w:p>
    <w:p>
      <w:pPr>
        <w:spacing w:line="360" w:lineRule="auto"/>
        <w:ind w:firstLine="420"/>
        <w:rPr>
          <w:rFonts w:ascii="宋体" w:hAnsi="宋体"/>
          <w:color w:val="auto"/>
          <w:szCs w:val="21"/>
          <w:highlight w:val="none"/>
        </w:rPr>
      </w:pPr>
      <w:r>
        <w:rPr>
          <w:rFonts w:hint="eastAsia" w:ascii="宋体" w:hAnsi="宋体"/>
          <w:color w:val="auto"/>
          <w:szCs w:val="21"/>
          <w:highlight w:val="none"/>
        </w:rPr>
        <w:t>因承包人原因造成工期延误，逾期竣工违约金的上限：10%履约保证金。</w:t>
      </w:r>
    </w:p>
    <w:p>
      <w:pPr>
        <w:spacing w:line="360" w:lineRule="auto"/>
        <w:ind w:firstLine="420"/>
        <w:rPr>
          <w:rFonts w:ascii="宋体" w:hAnsi="宋体"/>
          <w:color w:val="auto"/>
          <w:szCs w:val="21"/>
          <w:highlight w:val="none"/>
        </w:rPr>
      </w:pPr>
      <w:r>
        <w:rPr>
          <w:rFonts w:hint="eastAsia" w:ascii="宋体" w:hAnsi="宋体"/>
          <w:color w:val="auto"/>
          <w:szCs w:val="21"/>
          <w:highlight w:val="none"/>
        </w:rPr>
        <w:t>如果误期违约达到最高违约金额度时，承包人继续无力采取措施，加快进度，发包人有理由视为承包人无能力履行合同，发包人可以在发出书面通知14天后，与承包人中止合同。</w:t>
      </w:r>
    </w:p>
    <w:p>
      <w:pPr>
        <w:spacing w:line="360" w:lineRule="auto"/>
        <w:ind w:firstLine="420"/>
        <w:rPr>
          <w:rFonts w:ascii="宋体" w:hAnsi="宋体"/>
          <w:color w:val="auto"/>
          <w:szCs w:val="21"/>
          <w:highlight w:val="none"/>
        </w:rPr>
      </w:pPr>
      <w:r>
        <w:rPr>
          <w:rFonts w:ascii="宋体" w:hAnsi="宋体"/>
          <w:color w:val="auto"/>
          <w:szCs w:val="21"/>
          <w:highlight w:val="none"/>
        </w:rPr>
        <w:t>8.7.</w:t>
      </w:r>
      <w:r>
        <w:rPr>
          <w:rFonts w:hint="eastAsia" w:ascii="宋体" w:hAnsi="宋体"/>
          <w:color w:val="auto"/>
          <w:szCs w:val="21"/>
          <w:highlight w:val="none"/>
        </w:rPr>
        <w:t>3</w:t>
      </w:r>
      <w:r>
        <w:rPr>
          <w:rFonts w:ascii="宋体" w:hAnsi="宋体"/>
          <w:color w:val="auto"/>
          <w:szCs w:val="21"/>
          <w:highlight w:val="none"/>
        </w:rPr>
        <w:t xml:space="preserve"> </w:t>
      </w:r>
      <w:r>
        <w:rPr>
          <w:rFonts w:hint="eastAsia" w:ascii="宋体" w:hAnsi="宋体"/>
          <w:color w:val="auto"/>
          <w:szCs w:val="21"/>
          <w:highlight w:val="none"/>
        </w:rPr>
        <w:t>行政审批报送的职责分工：</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8.7.4 </w:t>
      </w:r>
      <w:r>
        <w:rPr>
          <w:rFonts w:hint="eastAsia" w:ascii="宋体" w:hAnsi="宋体"/>
          <w:color w:val="auto"/>
          <w:szCs w:val="21"/>
          <w:highlight w:val="none"/>
        </w:rPr>
        <w:t>异常恶劣的气候条件</w:t>
      </w:r>
    </w:p>
    <w:p>
      <w:pPr>
        <w:spacing w:line="360" w:lineRule="auto"/>
        <w:ind w:firstLine="420"/>
        <w:jc w:val="left"/>
        <w:rPr>
          <w:rFonts w:ascii="宋体" w:hAnsi="宋体"/>
          <w:color w:val="auto"/>
          <w:szCs w:val="21"/>
          <w:highlight w:val="none"/>
          <w:u w:val="single"/>
        </w:rPr>
      </w:pPr>
      <w:r>
        <w:rPr>
          <w:rFonts w:hint="eastAsia" w:ascii="宋体" w:hAnsi="宋体"/>
          <w:color w:val="auto"/>
          <w:szCs w:val="21"/>
          <w:highlight w:val="none"/>
        </w:rPr>
        <w:t>双方约定视为异常恶劣的气候条件的情形：</w:t>
      </w:r>
    </w:p>
    <w:p>
      <w:pPr>
        <w:spacing w:line="360" w:lineRule="auto"/>
        <w:ind w:firstLine="42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u w:val="single"/>
        </w:rPr>
        <w:t>5级以上的地震</w:t>
      </w:r>
      <w:r>
        <w:rPr>
          <w:rFonts w:ascii="宋体" w:hAnsi="宋体"/>
          <w:color w:val="auto"/>
          <w:szCs w:val="21"/>
          <w:highlight w:val="none"/>
        </w:rPr>
        <w:t>；</w:t>
      </w:r>
    </w:p>
    <w:p>
      <w:pPr>
        <w:spacing w:line="360" w:lineRule="auto"/>
        <w:ind w:firstLine="42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u w:val="single"/>
        </w:rPr>
        <w:t>日降雨量大于100MM以上持续三天的暴雨</w:t>
      </w:r>
      <w:r>
        <w:rPr>
          <w:rFonts w:ascii="宋体" w:hAnsi="宋体"/>
          <w:color w:val="auto"/>
          <w:szCs w:val="21"/>
          <w:highlight w:val="none"/>
        </w:rPr>
        <w:t>；</w:t>
      </w:r>
    </w:p>
    <w:p>
      <w:pPr>
        <w:spacing w:line="360" w:lineRule="auto"/>
        <w:ind w:firstLine="42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u w:val="single"/>
        </w:rPr>
        <w:t>风速达到10级以上的强台风</w:t>
      </w:r>
      <w:r>
        <w:rPr>
          <w:rFonts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8.8 </w:t>
      </w:r>
      <w:r>
        <w:rPr>
          <w:rFonts w:hint="eastAsia" w:ascii="宋体" w:hAnsi="宋体"/>
          <w:color w:val="auto"/>
          <w:szCs w:val="21"/>
          <w:highlight w:val="none"/>
        </w:rPr>
        <w:t>工期提前</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8.8.2 </w:t>
      </w:r>
      <w:r>
        <w:rPr>
          <w:rFonts w:hint="eastAsia" w:ascii="宋体" w:hAnsi="宋体"/>
          <w:color w:val="auto"/>
          <w:szCs w:val="21"/>
          <w:highlight w:val="none"/>
        </w:rPr>
        <w:t>承包人提前竣工的奖励：</w:t>
      </w:r>
      <w:r>
        <w:rPr>
          <w:rFonts w:ascii="宋体" w:hAnsi="宋体"/>
          <w:color w:val="auto"/>
          <w:szCs w:val="21"/>
          <w:highlight w:val="none"/>
          <w:u w:val="single"/>
        </w:rPr>
        <w:t>提前竣工的奖励：</w:t>
      </w:r>
      <w:r>
        <w:rPr>
          <w:rFonts w:hint="eastAsia" w:ascii="宋体" w:hAnsi="宋体"/>
          <w:color w:val="auto"/>
          <w:szCs w:val="21"/>
          <w:highlight w:val="none"/>
          <w:u w:val="single"/>
        </w:rPr>
        <w:t>每提前一天奖励人民币500元； (工期计算以合同签订日为起始时间，以全部并入国家电网日为结束时间)</w:t>
      </w:r>
      <w:r>
        <w:rPr>
          <w:rFonts w:hint="eastAsia" w:ascii="宋体" w:hAnsi="宋体"/>
          <w:color w:val="auto"/>
          <w:szCs w:val="21"/>
          <w:highlight w:val="none"/>
        </w:rPr>
        <w:t>。</w:t>
      </w:r>
    </w:p>
    <w:p>
      <w:pPr>
        <w:pStyle w:val="246"/>
        <w:spacing w:after="120"/>
        <w:ind w:firstLine="420"/>
        <w:outlineLvl w:val="9"/>
        <w:rPr>
          <w:b w:val="0"/>
          <w:bCs/>
          <w:color w:val="auto"/>
          <w:sz w:val="21"/>
          <w:szCs w:val="21"/>
          <w:highlight w:val="none"/>
        </w:rPr>
      </w:pPr>
      <w:bookmarkStart w:id="42" w:name="_Toc54862340"/>
      <w:r>
        <w:rPr>
          <w:rFonts w:hint="eastAsia"/>
          <w:b w:val="0"/>
          <w:bCs/>
          <w:color w:val="auto"/>
          <w:sz w:val="21"/>
          <w:szCs w:val="21"/>
          <w:highlight w:val="none"/>
        </w:rPr>
        <w:t>第</w:t>
      </w:r>
      <w:r>
        <w:rPr>
          <w:b w:val="0"/>
          <w:bCs/>
          <w:color w:val="auto"/>
          <w:sz w:val="21"/>
          <w:szCs w:val="21"/>
          <w:highlight w:val="none"/>
        </w:rPr>
        <w:t>9条</w:t>
      </w:r>
      <w:r>
        <w:rPr>
          <w:rFonts w:hint="eastAsia"/>
          <w:b w:val="0"/>
          <w:bCs/>
          <w:color w:val="auto"/>
          <w:sz w:val="21"/>
          <w:szCs w:val="21"/>
          <w:highlight w:val="none"/>
        </w:rPr>
        <w:t xml:space="preserve"> 竣工试验</w:t>
      </w:r>
      <w:bookmarkEnd w:id="42"/>
    </w:p>
    <w:p>
      <w:pPr>
        <w:spacing w:line="360" w:lineRule="auto"/>
        <w:ind w:firstLine="420"/>
        <w:rPr>
          <w:rFonts w:ascii="宋体" w:hAnsi="宋体"/>
          <w:color w:val="auto"/>
          <w:szCs w:val="21"/>
          <w:highlight w:val="none"/>
        </w:rPr>
      </w:pPr>
      <w:r>
        <w:rPr>
          <w:rFonts w:ascii="宋体" w:hAnsi="宋体"/>
          <w:color w:val="auto"/>
          <w:szCs w:val="21"/>
          <w:highlight w:val="none"/>
        </w:rPr>
        <w:t xml:space="preserve">9.1 </w:t>
      </w:r>
      <w:r>
        <w:rPr>
          <w:rFonts w:hint="eastAsia" w:ascii="宋体" w:hAnsi="宋体"/>
          <w:color w:val="auto"/>
          <w:szCs w:val="21"/>
          <w:highlight w:val="none"/>
        </w:rPr>
        <w:t>竣工试验的义务</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9.1.3 </w:t>
      </w:r>
      <w:r>
        <w:rPr>
          <w:rFonts w:hint="eastAsia" w:ascii="宋体" w:hAnsi="宋体"/>
          <w:color w:val="auto"/>
          <w:szCs w:val="21"/>
          <w:highlight w:val="none"/>
        </w:rPr>
        <w:t>竣工试验的阶段、内容和顺序：</w:t>
      </w:r>
      <w:r>
        <w:rPr>
          <w:rFonts w:hint="eastAsia" w:ascii="宋体" w:hAnsi="宋体"/>
          <w:color w:val="auto"/>
          <w:szCs w:val="21"/>
          <w:highlight w:val="none"/>
          <w:u w:val="single"/>
        </w:rPr>
        <w:t>按施工</w:t>
      </w:r>
      <w:r>
        <w:rPr>
          <w:rFonts w:ascii="宋体" w:hAnsi="宋体"/>
          <w:color w:val="auto"/>
          <w:szCs w:val="21"/>
          <w:highlight w:val="none"/>
          <w:u w:val="single"/>
        </w:rPr>
        <w:t>组织设计</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竣工试验的操作要求：</w:t>
      </w:r>
      <w:r>
        <w:rPr>
          <w:rFonts w:hint="eastAsia" w:ascii="宋体" w:hAnsi="宋体"/>
          <w:color w:val="auto"/>
          <w:szCs w:val="21"/>
          <w:highlight w:val="none"/>
          <w:u w:val="single"/>
        </w:rPr>
        <w:t>按规范和</w:t>
      </w:r>
      <w:r>
        <w:rPr>
          <w:rFonts w:ascii="宋体" w:hAnsi="宋体"/>
          <w:color w:val="auto"/>
          <w:szCs w:val="21"/>
          <w:highlight w:val="none"/>
          <w:u w:val="single"/>
        </w:rPr>
        <w:t>相关规定</w:t>
      </w:r>
      <w:r>
        <w:rPr>
          <w:rFonts w:hint="eastAsia" w:ascii="宋体" w:hAnsi="宋体"/>
          <w:color w:val="auto"/>
          <w:szCs w:val="21"/>
          <w:highlight w:val="none"/>
        </w:rPr>
        <w:t>。</w:t>
      </w:r>
    </w:p>
    <w:p>
      <w:pPr>
        <w:pStyle w:val="246"/>
        <w:spacing w:after="120"/>
        <w:ind w:firstLine="420"/>
        <w:outlineLvl w:val="9"/>
        <w:rPr>
          <w:b w:val="0"/>
          <w:bCs/>
          <w:color w:val="auto"/>
          <w:sz w:val="21"/>
          <w:szCs w:val="21"/>
          <w:highlight w:val="none"/>
        </w:rPr>
      </w:pPr>
      <w:bookmarkStart w:id="43" w:name="_Toc4784273"/>
      <w:bookmarkEnd w:id="43"/>
      <w:bookmarkStart w:id="44" w:name="_Toc4784272"/>
      <w:bookmarkEnd w:id="44"/>
      <w:bookmarkStart w:id="45" w:name="_Toc54862341"/>
      <w:r>
        <w:rPr>
          <w:rFonts w:hint="eastAsia"/>
          <w:b w:val="0"/>
          <w:bCs/>
          <w:color w:val="auto"/>
          <w:sz w:val="21"/>
          <w:szCs w:val="21"/>
          <w:highlight w:val="none"/>
        </w:rPr>
        <w:t>第</w:t>
      </w:r>
      <w:r>
        <w:rPr>
          <w:b w:val="0"/>
          <w:bCs/>
          <w:color w:val="auto"/>
          <w:sz w:val="21"/>
          <w:szCs w:val="21"/>
          <w:highlight w:val="none"/>
        </w:rPr>
        <w:t>10条</w:t>
      </w:r>
      <w:r>
        <w:rPr>
          <w:rFonts w:hint="eastAsia"/>
          <w:b w:val="0"/>
          <w:bCs/>
          <w:color w:val="auto"/>
          <w:sz w:val="21"/>
          <w:szCs w:val="21"/>
          <w:highlight w:val="none"/>
        </w:rPr>
        <w:t xml:space="preserve"> 验收和工程接收</w:t>
      </w:r>
      <w:bookmarkEnd w:id="45"/>
    </w:p>
    <w:p>
      <w:pPr>
        <w:spacing w:line="360" w:lineRule="auto"/>
        <w:ind w:firstLine="420"/>
        <w:rPr>
          <w:rFonts w:ascii="宋体" w:hAnsi="宋体"/>
          <w:color w:val="auto"/>
          <w:szCs w:val="21"/>
          <w:highlight w:val="none"/>
        </w:rPr>
      </w:pPr>
      <w:r>
        <w:rPr>
          <w:rFonts w:ascii="宋体" w:hAnsi="宋体"/>
          <w:color w:val="auto"/>
          <w:szCs w:val="21"/>
          <w:highlight w:val="none"/>
        </w:rPr>
        <w:t xml:space="preserve">10.1 </w:t>
      </w:r>
      <w:r>
        <w:rPr>
          <w:rFonts w:hint="eastAsia" w:ascii="宋体" w:hAnsi="宋体"/>
          <w:color w:val="auto"/>
          <w:szCs w:val="21"/>
          <w:highlight w:val="none"/>
        </w:rPr>
        <w:t>竣工验收</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10.1.2 </w:t>
      </w:r>
      <w:r>
        <w:rPr>
          <w:rFonts w:hint="eastAsia" w:ascii="宋体" w:hAnsi="宋体"/>
          <w:color w:val="auto"/>
          <w:szCs w:val="21"/>
          <w:highlight w:val="none"/>
        </w:rPr>
        <w:t>关于竣工验收程序的约定：</w:t>
      </w:r>
      <w:r>
        <w:rPr>
          <w:rFonts w:hint="eastAsia" w:ascii="宋体" w:hAnsi="宋体"/>
          <w:color w:val="auto"/>
          <w:szCs w:val="21"/>
          <w:highlight w:val="none"/>
          <w:u w:val="single"/>
        </w:rPr>
        <w:t>按规范和</w:t>
      </w:r>
      <w:r>
        <w:rPr>
          <w:rFonts w:ascii="宋体" w:hAnsi="宋体"/>
          <w:color w:val="auto"/>
          <w:szCs w:val="21"/>
          <w:highlight w:val="none"/>
          <w:u w:val="single"/>
        </w:rPr>
        <w:t>相关规定</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bookmarkStart w:id="46" w:name="_Hlk46406260"/>
      <w:r>
        <w:rPr>
          <w:rFonts w:hint="eastAsia" w:ascii="宋体" w:hAnsi="宋体"/>
          <w:color w:val="auto"/>
          <w:szCs w:val="21"/>
          <w:highlight w:val="none"/>
        </w:rPr>
        <w:t>发包人不按照合同约定组织竣工验收、颁发工程接受证书的违约金的计算方式：</w:t>
      </w:r>
      <w:r>
        <w:rPr>
          <w:rFonts w:hint="eastAsia" w:ascii="宋体" w:hAnsi="宋体"/>
          <w:color w:val="auto"/>
          <w:szCs w:val="21"/>
          <w:highlight w:val="none"/>
          <w:u w:val="single"/>
        </w:rPr>
        <w:t>按通用条款</w:t>
      </w:r>
      <w:r>
        <w:rPr>
          <w:rFonts w:hint="eastAsia" w:ascii="宋体" w:hAnsi="宋体"/>
          <w:color w:val="auto"/>
          <w:szCs w:val="21"/>
          <w:highlight w:val="none"/>
        </w:rPr>
        <w:t>。</w:t>
      </w:r>
    </w:p>
    <w:bookmarkEnd w:id="46"/>
    <w:p>
      <w:pPr>
        <w:spacing w:line="360" w:lineRule="auto"/>
        <w:ind w:firstLine="420"/>
        <w:rPr>
          <w:rFonts w:ascii="宋体" w:hAnsi="宋体"/>
          <w:color w:val="auto"/>
          <w:szCs w:val="21"/>
          <w:highlight w:val="none"/>
        </w:rPr>
      </w:pPr>
      <w:r>
        <w:rPr>
          <w:rFonts w:ascii="宋体" w:hAnsi="宋体"/>
          <w:color w:val="auto"/>
          <w:szCs w:val="21"/>
          <w:highlight w:val="none"/>
        </w:rPr>
        <w:t>10.3</w:t>
      </w:r>
      <w:r>
        <w:rPr>
          <w:rFonts w:ascii="宋体" w:hAnsi="宋体"/>
          <w:color w:val="auto"/>
          <w:szCs w:val="21"/>
          <w:highlight w:val="none"/>
        </w:rPr>
        <w:tab/>
      </w:r>
      <w:r>
        <w:rPr>
          <w:rFonts w:ascii="宋体" w:hAnsi="宋体"/>
          <w:color w:val="auto"/>
          <w:szCs w:val="21"/>
          <w:highlight w:val="none"/>
        </w:rPr>
        <w:t xml:space="preserve"> 工程的接收</w:t>
      </w:r>
    </w:p>
    <w:p>
      <w:pPr>
        <w:spacing w:line="360" w:lineRule="auto"/>
        <w:ind w:firstLine="420"/>
        <w:rPr>
          <w:rFonts w:ascii="宋体" w:hAnsi="宋体"/>
          <w:color w:val="auto"/>
          <w:szCs w:val="21"/>
          <w:highlight w:val="none"/>
        </w:rPr>
      </w:pPr>
      <w:r>
        <w:rPr>
          <w:rFonts w:ascii="宋体" w:hAnsi="宋体"/>
          <w:color w:val="auto"/>
          <w:szCs w:val="21"/>
          <w:highlight w:val="none"/>
        </w:rPr>
        <w:t>10.3.1</w:t>
      </w:r>
      <w:r>
        <w:rPr>
          <w:rFonts w:hint="eastAsia" w:ascii="宋体" w:hAnsi="宋体"/>
          <w:color w:val="auto"/>
          <w:szCs w:val="21"/>
          <w:highlight w:val="none"/>
        </w:rPr>
        <w:t>工程接收的先后顺序、时间安排和其他要求：</w:t>
      </w:r>
      <w:r>
        <w:rPr>
          <w:rFonts w:hint="eastAsia" w:ascii="宋体" w:hAnsi="宋体"/>
          <w:color w:val="auto"/>
          <w:szCs w:val="21"/>
          <w:highlight w:val="none"/>
          <w:u w:val="single"/>
        </w:rPr>
        <w:t>按发包人要求</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10.3.2 </w:t>
      </w:r>
      <w:r>
        <w:rPr>
          <w:rFonts w:hint="eastAsia" w:ascii="宋体" w:hAnsi="宋体"/>
          <w:color w:val="auto"/>
          <w:szCs w:val="21"/>
          <w:highlight w:val="none"/>
        </w:rPr>
        <w:t>接受工程时承包人需提交竣工验收资料的类别、内容、份数和提交时间：</w:t>
      </w:r>
      <w:r>
        <w:rPr>
          <w:rFonts w:ascii="宋体" w:hAnsi="宋体"/>
          <w:color w:val="auto"/>
          <w:szCs w:val="21"/>
          <w:highlight w:val="none"/>
          <w:u w:val="single"/>
        </w:rPr>
        <w:t>按照法律</w:t>
      </w:r>
      <w:r>
        <w:rPr>
          <w:rFonts w:hint="eastAsia" w:ascii="宋体" w:hAnsi="宋体"/>
          <w:color w:val="auto"/>
          <w:szCs w:val="21"/>
          <w:highlight w:val="none"/>
          <w:u w:val="single"/>
        </w:rPr>
        <w:t>法规</w:t>
      </w:r>
      <w:r>
        <w:rPr>
          <w:rFonts w:ascii="宋体" w:hAnsi="宋体"/>
          <w:color w:val="auto"/>
          <w:szCs w:val="21"/>
          <w:highlight w:val="none"/>
          <w:u w:val="single"/>
        </w:rPr>
        <w:t>规定</w:t>
      </w:r>
      <w:r>
        <w:rPr>
          <w:rFonts w:hint="eastAsia" w:ascii="宋体" w:hAnsi="宋体"/>
          <w:color w:val="auto"/>
          <w:szCs w:val="21"/>
          <w:highlight w:val="none"/>
          <w:u w:val="single"/>
        </w:rPr>
        <w:t>的完整内容</w:t>
      </w:r>
      <w:r>
        <w:rPr>
          <w:rFonts w:ascii="宋体" w:hAnsi="宋体"/>
          <w:color w:val="auto"/>
          <w:szCs w:val="21"/>
          <w:highlight w:val="none"/>
          <w:u w:val="single"/>
        </w:rPr>
        <w:t>编制竣工</w:t>
      </w:r>
      <w:r>
        <w:rPr>
          <w:rFonts w:hint="eastAsia" w:ascii="宋体" w:hAnsi="宋体"/>
          <w:color w:val="auto"/>
          <w:szCs w:val="21"/>
          <w:highlight w:val="none"/>
          <w:u w:val="single"/>
        </w:rPr>
        <w:t>文件</w:t>
      </w:r>
      <w:r>
        <w:rPr>
          <w:rFonts w:ascii="宋体" w:hAnsi="宋体"/>
          <w:color w:val="auto"/>
          <w:szCs w:val="21"/>
          <w:highlight w:val="none"/>
          <w:u w:val="single"/>
        </w:rPr>
        <w:t>，完成竣工</w:t>
      </w:r>
      <w:r>
        <w:rPr>
          <w:rFonts w:hint="eastAsia" w:ascii="宋体" w:hAnsi="宋体"/>
          <w:color w:val="auto"/>
          <w:szCs w:val="21"/>
          <w:highlight w:val="none"/>
          <w:u w:val="single"/>
        </w:rPr>
        <w:t>文件</w:t>
      </w:r>
      <w:r>
        <w:rPr>
          <w:rFonts w:ascii="宋体" w:hAnsi="宋体"/>
          <w:color w:val="auto"/>
          <w:szCs w:val="21"/>
          <w:highlight w:val="none"/>
          <w:u w:val="single"/>
        </w:rPr>
        <w:t>立卷及归档</w:t>
      </w:r>
      <w:r>
        <w:rPr>
          <w:rFonts w:hint="eastAsia" w:ascii="宋体" w:hAnsi="宋体"/>
          <w:color w:val="auto"/>
          <w:szCs w:val="21"/>
          <w:highlight w:val="none"/>
          <w:u w:val="single"/>
        </w:rPr>
        <w:t>，</w:t>
      </w:r>
      <w:r>
        <w:rPr>
          <w:rFonts w:ascii="宋体" w:hAnsi="宋体"/>
          <w:color w:val="auto"/>
          <w:szCs w:val="21"/>
          <w:highlight w:val="none"/>
          <w:u w:val="single"/>
        </w:rPr>
        <w:t>竣工</w:t>
      </w:r>
      <w:r>
        <w:rPr>
          <w:rFonts w:hint="eastAsia" w:ascii="宋体" w:hAnsi="宋体"/>
          <w:color w:val="auto"/>
          <w:szCs w:val="21"/>
          <w:highlight w:val="none"/>
          <w:u w:val="single"/>
        </w:rPr>
        <w:t>文件纸质3套，电子文档1套，工程验收合格后一个月内提供</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10.3.3 </w:t>
      </w:r>
      <w:r>
        <w:rPr>
          <w:rFonts w:hint="eastAsia" w:ascii="宋体" w:hAnsi="宋体"/>
          <w:color w:val="auto"/>
          <w:szCs w:val="21"/>
          <w:highlight w:val="none"/>
        </w:rPr>
        <w:t>发包人逾期接收工程的违约责任：</w:t>
      </w:r>
      <w:r>
        <w:rPr>
          <w:rFonts w:hint="eastAsia" w:ascii="宋体" w:hAnsi="宋体"/>
          <w:color w:val="auto"/>
          <w:szCs w:val="21"/>
          <w:highlight w:val="none"/>
          <w:u w:val="single"/>
        </w:rPr>
        <w:t>按通用条款</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10.3.4 </w:t>
      </w:r>
      <w:r>
        <w:rPr>
          <w:rFonts w:hint="eastAsia" w:ascii="宋体" w:hAnsi="宋体"/>
          <w:color w:val="auto"/>
          <w:szCs w:val="21"/>
          <w:highlight w:val="none"/>
        </w:rPr>
        <w:t>承包人无正当理由不移交工程的违约责任：</w:t>
      </w:r>
      <w:r>
        <w:rPr>
          <w:rFonts w:hint="eastAsia" w:ascii="宋体" w:hAnsi="宋体"/>
          <w:color w:val="auto"/>
          <w:szCs w:val="21"/>
          <w:highlight w:val="none"/>
          <w:u w:val="single"/>
        </w:rPr>
        <w:t>视为工期</w:t>
      </w:r>
      <w:r>
        <w:rPr>
          <w:rFonts w:ascii="宋体" w:hAnsi="宋体"/>
          <w:color w:val="auto"/>
          <w:szCs w:val="21"/>
          <w:highlight w:val="none"/>
          <w:u w:val="single"/>
        </w:rPr>
        <w:t>延误</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10.4 </w:t>
      </w:r>
      <w:r>
        <w:rPr>
          <w:rFonts w:hint="eastAsia" w:ascii="宋体" w:hAnsi="宋体"/>
          <w:color w:val="auto"/>
          <w:szCs w:val="21"/>
          <w:highlight w:val="none"/>
        </w:rPr>
        <w:t>接收证书</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10.4.1 </w:t>
      </w:r>
      <w:r>
        <w:rPr>
          <w:rFonts w:hint="eastAsia" w:ascii="宋体" w:hAnsi="宋体"/>
          <w:color w:val="auto"/>
          <w:szCs w:val="21"/>
          <w:highlight w:val="none"/>
        </w:rPr>
        <w:t>工程接收证书颁发时间：</w:t>
      </w:r>
      <w:r>
        <w:rPr>
          <w:rFonts w:hint="eastAsia" w:ascii="宋体" w:hAnsi="宋体"/>
          <w:color w:val="auto"/>
          <w:szCs w:val="21"/>
          <w:highlight w:val="none"/>
          <w:u w:val="single"/>
        </w:rPr>
        <w:t>按通用条款</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10.5 </w:t>
      </w:r>
      <w:r>
        <w:rPr>
          <w:rFonts w:hint="eastAsia" w:ascii="宋体" w:hAnsi="宋体"/>
          <w:color w:val="auto"/>
          <w:szCs w:val="21"/>
          <w:highlight w:val="none"/>
        </w:rPr>
        <w:t>竣工退场</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10.5.1 </w:t>
      </w:r>
      <w:r>
        <w:rPr>
          <w:rFonts w:hint="eastAsia" w:ascii="宋体" w:hAnsi="宋体"/>
          <w:color w:val="auto"/>
          <w:szCs w:val="21"/>
          <w:highlight w:val="none"/>
        </w:rPr>
        <w:t>竣工退场的相关约定：</w:t>
      </w:r>
      <w:r>
        <w:rPr>
          <w:rFonts w:hint="eastAsia" w:ascii="宋体" w:hAnsi="宋体"/>
          <w:color w:val="auto"/>
          <w:szCs w:val="21"/>
          <w:highlight w:val="none"/>
          <w:u w:val="single"/>
        </w:rPr>
        <w:t>按通用条款</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10.5.3</w:t>
      </w:r>
      <w:r>
        <w:rPr>
          <w:rFonts w:hint="eastAsia" w:ascii="宋体" w:hAnsi="宋体"/>
          <w:color w:val="auto"/>
          <w:szCs w:val="21"/>
          <w:highlight w:val="none"/>
        </w:rPr>
        <w:t>人员撤离</w:t>
      </w:r>
    </w:p>
    <w:p>
      <w:pPr>
        <w:spacing w:line="360" w:lineRule="auto"/>
        <w:ind w:firstLine="420"/>
        <w:rPr>
          <w:rFonts w:ascii="宋体" w:hAnsi="宋体"/>
          <w:color w:val="auto"/>
          <w:szCs w:val="21"/>
          <w:highlight w:val="none"/>
        </w:rPr>
      </w:pPr>
      <w:r>
        <w:rPr>
          <w:rFonts w:hint="eastAsia" w:ascii="宋体" w:hAnsi="宋体"/>
          <w:color w:val="auto"/>
          <w:szCs w:val="21"/>
          <w:highlight w:val="none"/>
        </w:rPr>
        <w:t>工程师同意需在缺陷责任期内继续工作和使用的人员、施工设备和临时工程的内容：</w:t>
      </w:r>
      <w:r>
        <w:rPr>
          <w:rFonts w:hint="eastAsia" w:ascii="宋体" w:hAnsi="宋体"/>
          <w:color w:val="auto"/>
          <w:szCs w:val="21"/>
          <w:highlight w:val="none"/>
          <w:u w:val="single"/>
        </w:rPr>
        <w:t>按通用条款</w:t>
      </w:r>
      <w:r>
        <w:rPr>
          <w:rFonts w:hint="eastAsia" w:ascii="宋体" w:hAnsi="宋体"/>
          <w:color w:val="auto"/>
          <w:szCs w:val="21"/>
          <w:highlight w:val="none"/>
        </w:rPr>
        <w:t>。</w:t>
      </w:r>
    </w:p>
    <w:p>
      <w:pPr>
        <w:pStyle w:val="246"/>
        <w:spacing w:after="120"/>
        <w:ind w:firstLine="420"/>
        <w:outlineLvl w:val="9"/>
        <w:rPr>
          <w:b w:val="0"/>
          <w:bCs/>
          <w:color w:val="auto"/>
          <w:sz w:val="21"/>
          <w:szCs w:val="21"/>
          <w:highlight w:val="none"/>
        </w:rPr>
      </w:pPr>
      <w:bookmarkStart w:id="47" w:name="_Toc54862342"/>
      <w:r>
        <w:rPr>
          <w:rFonts w:hint="eastAsia"/>
          <w:b w:val="0"/>
          <w:bCs/>
          <w:color w:val="auto"/>
          <w:sz w:val="21"/>
          <w:szCs w:val="21"/>
          <w:highlight w:val="none"/>
        </w:rPr>
        <w:t>第</w:t>
      </w:r>
      <w:r>
        <w:rPr>
          <w:b w:val="0"/>
          <w:bCs/>
          <w:color w:val="auto"/>
          <w:sz w:val="21"/>
          <w:szCs w:val="21"/>
          <w:highlight w:val="none"/>
        </w:rPr>
        <w:t>11条</w:t>
      </w:r>
      <w:r>
        <w:rPr>
          <w:rFonts w:hint="eastAsia"/>
          <w:b w:val="0"/>
          <w:bCs/>
          <w:color w:val="auto"/>
          <w:sz w:val="21"/>
          <w:szCs w:val="21"/>
          <w:highlight w:val="none"/>
        </w:rPr>
        <w:t xml:space="preserve"> 缺陷责任与保修</w:t>
      </w:r>
      <w:bookmarkEnd w:id="47"/>
    </w:p>
    <w:p>
      <w:pPr>
        <w:spacing w:line="360" w:lineRule="auto"/>
        <w:ind w:firstLine="420"/>
        <w:rPr>
          <w:rFonts w:ascii="宋体" w:hAnsi="宋体"/>
          <w:color w:val="auto"/>
          <w:szCs w:val="21"/>
          <w:highlight w:val="none"/>
        </w:rPr>
      </w:pPr>
      <w:r>
        <w:rPr>
          <w:rFonts w:ascii="宋体" w:hAnsi="宋体"/>
          <w:color w:val="auto"/>
          <w:szCs w:val="21"/>
          <w:highlight w:val="none"/>
        </w:rPr>
        <w:t xml:space="preserve">11.2 </w:t>
      </w:r>
      <w:r>
        <w:rPr>
          <w:rFonts w:hint="eastAsia" w:ascii="宋体" w:hAnsi="宋体"/>
          <w:color w:val="auto"/>
          <w:szCs w:val="21"/>
          <w:highlight w:val="none"/>
        </w:rPr>
        <w:t>缺陷责任期</w:t>
      </w:r>
    </w:p>
    <w:p>
      <w:pPr>
        <w:spacing w:line="360" w:lineRule="auto"/>
        <w:ind w:firstLine="420"/>
        <w:rPr>
          <w:rFonts w:ascii="宋体" w:hAnsi="宋体"/>
          <w:color w:val="auto"/>
          <w:szCs w:val="21"/>
          <w:highlight w:val="none"/>
        </w:rPr>
      </w:pPr>
      <w:r>
        <w:rPr>
          <w:rFonts w:ascii="宋体" w:hAnsi="宋体"/>
          <w:color w:val="auto"/>
          <w:szCs w:val="21"/>
          <w:highlight w:val="none"/>
        </w:rPr>
        <w:t>缺陷责任期的</w:t>
      </w:r>
      <w:r>
        <w:rPr>
          <w:rFonts w:hint="eastAsia" w:ascii="宋体" w:hAnsi="宋体"/>
          <w:color w:val="auto"/>
          <w:szCs w:val="21"/>
          <w:highlight w:val="none"/>
        </w:rPr>
        <w:t>期限：</w:t>
      </w:r>
      <w:r>
        <w:rPr>
          <w:rFonts w:hint="eastAsia" w:ascii="宋体" w:hAnsi="宋体"/>
          <w:b/>
          <w:color w:val="auto"/>
          <w:szCs w:val="21"/>
          <w:highlight w:val="none"/>
          <w:u w:val="single"/>
        </w:rPr>
        <w:t>36个月</w:t>
      </w:r>
      <w:r>
        <w:rPr>
          <w:rFonts w:hint="eastAsia" w:ascii="宋体" w:hAnsi="宋体"/>
          <w:b/>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11.3 </w:t>
      </w:r>
      <w:r>
        <w:rPr>
          <w:rFonts w:hint="eastAsia" w:ascii="宋体" w:hAnsi="宋体"/>
          <w:color w:val="auto"/>
          <w:szCs w:val="21"/>
          <w:highlight w:val="none"/>
        </w:rPr>
        <w:t>缺陷调查</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11.3.4 </w:t>
      </w:r>
      <w:r>
        <w:rPr>
          <w:rFonts w:hint="eastAsia" w:ascii="宋体" w:hAnsi="宋体"/>
          <w:color w:val="auto"/>
          <w:szCs w:val="21"/>
          <w:highlight w:val="none"/>
        </w:rPr>
        <w:t>修复通知</w:t>
      </w:r>
    </w:p>
    <w:p>
      <w:pPr>
        <w:spacing w:line="360" w:lineRule="auto"/>
        <w:ind w:firstLine="420"/>
        <w:rPr>
          <w:rFonts w:ascii="宋体" w:hAnsi="宋体"/>
          <w:color w:val="auto"/>
          <w:szCs w:val="21"/>
          <w:highlight w:val="none"/>
        </w:rPr>
      </w:pPr>
      <w:r>
        <w:rPr>
          <w:rFonts w:ascii="宋体" w:hAnsi="宋体"/>
          <w:color w:val="auto"/>
          <w:szCs w:val="21"/>
          <w:highlight w:val="none"/>
        </w:rPr>
        <w:t>承包人收到保修通知并到达工程现场的合理时间：</w:t>
      </w:r>
      <w:r>
        <w:rPr>
          <w:rFonts w:hint="eastAsia" w:ascii="宋体" w:hAnsi="宋体"/>
          <w:color w:val="auto"/>
          <w:szCs w:val="21"/>
          <w:highlight w:val="none"/>
          <w:u w:val="single"/>
        </w:rPr>
        <w:t>按通用条款</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11.6 </w:t>
      </w:r>
      <w:r>
        <w:rPr>
          <w:rFonts w:hint="eastAsia" w:ascii="宋体" w:hAnsi="宋体"/>
          <w:color w:val="auto"/>
          <w:szCs w:val="21"/>
          <w:highlight w:val="none"/>
        </w:rPr>
        <w:t>缺陷责任期终止证书</w:t>
      </w:r>
    </w:p>
    <w:p>
      <w:pPr>
        <w:spacing w:line="360" w:lineRule="auto"/>
        <w:ind w:firstLine="420"/>
        <w:rPr>
          <w:rFonts w:ascii="宋体" w:hAnsi="宋体"/>
          <w:color w:val="auto"/>
          <w:szCs w:val="21"/>
          <w:highlight w:val="none"/>
        </w:rPr>
      </w:pPr>
      <w:r>
        <w:rPr>
          <w:rFonts w:hint="eastAsia" w:ascii="宋体" w:hAnsi="宋体"/>
          <w:color w:val="auto"/>
          <w:szCs w:val="21"/>
          <w:highlight w:val="none"/>
        </w:rPr>
        <w:t>承包人应于缺陷责任期届满后</w:t>
      </w:r>
      <w:r>
        <w:rPr>
          <w:rFonts w:ascii="宋体" w:hAnsi="宋体"/>
          <w:color w:val="auto"/>
          <w:szCs w:val="21"/>
          <w:highlight w:val="none"/>
          <w:u w:val="single"/>
        </w:rPr>
        <w:t xml:space="preserve"> 7 </w:t>
      </w:r>
      <w:r>
        <w:rPr>
          <w:rFonts w:hint="eastAsia" w:ascii="宋体" w:hAnsi="宋体"/>
          <w:color w:val="auto"/>
          <w:szCs w:val="21"/>
          <w:highlight w:val="none"/>
        </w:rPr>
        <w:t>天内向发包人发出缺陷责任期届满通知，发包人应在收到缺陷责任期满通知后</w:t>
      </w:r>
      <w:r>
        <w:rPr>
          <w:rFonts w:ascii="宋体" w:hAnsi="宋体"/>
          <w:color w:val="auto"/>
          <w:szCs w:val="21"/>
          <w:highlight w:val="none"/>
          <w:u w:val="single"/>
        </w:rPr>
        <w:t xml:space="preserve"> 14 </w:t>
      </w:r>
      <w:r>
        <w:rPr>
          <w:rFonts w:hint="eastAsia" w:ascii="宋体" w:hAnsi="宋体"/>
          <w:color w:val="auto"/>
          <w:szCs w:val="21"/>
          <w:highlight w:val="none"/>
        </w:rPr>
        <w:t>天内核实承包人是否履行缺陷修复义务，承包人未能履行缺陷修复义务的，发包人有权扣除相应金额的维修费用。发包人应在收到缺陷责任期届满通知后</w:t>
      </w:r>
      <w:r>
        <w:rPr>
          <w:rFonts w:ascii="宋体" w:hAnsi="宋体"/>
          <w:color w:val="auto"/>
          <w:szCs w:val="21"/>
          <w:highlight w:val="none"/>
          <w:u w:val="single"/>
        </w:rPr>
        <w:t xml:space="preserve"> 14 </w:t>
      </w:r>
      <w:r>
        <w:rPr>
          <w:rFonts w:hint="eastAsia" w:ascii="宋体" w:hAnsi="宋体"/>
          <w:color w:val="auto"/>
          <w:szCs w:val="21"/>
          <w:highlight w:val="none"/>
        </w:rPr>
        <w:t>天内，向承包人颁发缺陷责任期终止证书。</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11.7 </w:t>
      </w:r>
      <w:r>
        <w:rPr>
          <w:rFonts w:hint="eastAsia" w:ascii="宋体" w:hAnsi="宋体"/>
          <w:color w:val="auto"/>
          <w:szCs w:val="21"/>
          <w:highlight w:val="none"/>
        </w:rPr>
        <w:t>保修责任</w:t>
      </w:r>
    </w:p>
    <w:p>
      <w:pPr>
        <w:spacing w:line="360" w:lineRule="auto"/>
        <w:ind w:firstLine="420"/>
        <w:rPr>
          <w:rFonts w:ascii="宋体" w:hAnsi="宋体"/>
          <w:color w:val="auto"/>
          <w:szCs w:val="21"/>
          <w:highlight w:val="none"/>
        </w:rPr>
      </w:pPr>
      <w:r>
        <w:rPr>
          <w:rFonts w:hint="eastAsia" w:ascii="宋体" w:hAnsi="宋体"/>
          <w:color w:val="auto"/>
          <w:szCs w:val="21"/>
          <w:highlight w:val="none"/>
        </w:rPr>
        <w:t>工程质量保修范围、期限和责任</w:t>
      </w:r>
      <w:r>
        <w:rPr>
          <w:rFonts w:ascii="宋体" w:hAnsi="宋体"/>
          <w:color w:val="auto"/>
          <w:szCs w:val="21"/>
          <w:highlight w:val="none"/>
        </w:rPr>
        <w:t>为：</w:t>
      </w:r>
      <w:r>
        <w:rPr>
          <w:rFonts w:hint="eastAsia" w:ascii="宋体" w:hAnsi="宋体"/>
          <w:color w:val="auto"/>
          <w:szCs w:val="21"/>
          <w:highlight w:val="none"/>
          <w:u w:val="single"/>
        </w:rPr>
        <w:t>按质保</w:t>
      </w:r>
      <w:r>
        <w:rPr>
          <w:rFonts w:ascii="宋体" w:hAnsi="宋体"/>
          <w:color w:val="auto"/>
          <w:szCs w:val="21"/>
          <w:highlight w:val="none"/>
          <w:u w:val="single"/>
        </w:rPr>
        <w:t>要求</w:t>
      </w:r>
      <w:r>
        <w:rPr>
          <w:rFonts w:hint="eastAsia" w:ascii="宋体" w:hAnsi="宋体"/>
          <w:color w:val="auto"/>
          <w:szCs w:val="21"/>
          <w:highlight w:val="none"/>
        </w:rPr>
        <w:t>。</w:t>
      </w:r>
    </w:p>
    <w:p>
      <w:pPr>
        <w:pStyle w:val="246"/>
        <w:spacing w:after="120"/>
        <w:ind w:firstLine="420"/>
        <w:outlineLvl w:val="9"/>
        <w:rPr>
          <w:b w:val="0"/>
          <w:bCs/>
          <w:color w:val="auto"/>
          <w:sz w:val="21"/>
          <w:szCs w:val="21"/>
          <w:highlight w:val="none"/>
        </w:rPr>
      </w:pPr>
      <w:bookmarkStart w:id="48" w:name="_Toc54862343"/>
      <w:r>
        <w:rPr>
          <w:rFonts w:hint="eastAsia"/>
          <w:b w:val="0"/>
          <w:bCs/>
          <w:color w:val="auto"/>
          <w:sz w:val="21"/>
          <w:szCs w:val="21"/>
          <w:highlight w:val="none"/>
        </w:rPr>
        <w:t>第</w:t>
      </w:r>
      <w:r>
        <w:rPr>
          <w:b w:val="0"/>
          <w:bCs/>
          <w:color w:val="auto"/>
          <w:sz w:val="21"/>
          <w:szCs w:val="21"/>
          <w:highlight w:val="none"/>
        </w:rPr>
        <w:t>12条</w:t>
      </w:r>
      <w:r>
        <w:rPr>
          <w:rFonts w:hint="eastAsia"/>
          <w:b w:val="0"/>
          <w:bCs/>
          <w:color w:val="auto"/>
          <w:sz w:val="21"/>
          <w:szCs w:val="21"/>
          <w:highlight w:val="none"/>
        </w:rPr>
        <w:t xml:space="preserve"> 竣工后试验</w:t>
      </w:r>
      <w:bookmarkEnd w:id="48"/>
    </w:p>
    <w:p>
      <w:pPr>
        <w:spacing w:line="360" w:lineRule="auto"/>
        <w:ind w:firstLine="420"/>
        <w:rPr>
          <w:rFonts w:ascii="宋体" w:hAnsi="宋体"/>
          <w:color w:val="auto"/>
          <w:szCs w:val="21"/>
          <w:highlight w:val="none"/>
        </w:rPr>
      </w:pPr>
      <w:r>
        <w:rPr>
          <w:rFonts w:hint="eastAsia" w:ascii="宋体" w:hAnsi="宋体"/>
          <w:color w:val="auto"/>
          <w:szCs w:val="21"/>
          <w:highlight w:val="none"/>
        </w:rPr>
        <w:t>本合同工程是否包含竣工后试验：</w:t>
      </w:r>
      <w:r>
        <w:rPr>
          <w:rFonts w:hint="eastAsia" w:ascii="宋体" w:hAnsi="宋体"/>
          <w:color w:val="auto"/>
          <w:szCs w:val="21"/>
          <w:highlight w:val="none"/>
          <w:u w:val="single"/>
        </w:rPr>
        <w:t>另行约定</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12.1 </w:t>
      </w:r>
      <w:r>
        <w:rPr>
          <w:rFonts w:hint="eastAsia" w:ascii="宋体" w:hAnsi="宋体"/>
          <w:color w:val="auto"/>
          <w:szCs w:val="21"/>
          <w:highlight w:val="none"/>
        </w:rPr>
        <w:t>竣工后试验的程序</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12.1.2 </w:t>
      </w:r>
      <w:r>
        <w:rPr>
          <w:rFonts w:hint="eastAsia" w:ascii="宋体" w:hAnsi="宋体"/>
          <w:color w:val="auto"/>
          <w:szCs w:val="21"/>
          <w:highlight w:val="none"/>
        </w:rPr>
        <w:t>竣工后试验全部电力、水、污水处理、燃料、消耗品和材料，以及全部其他仪器、协助、文件或其他信息、设备、工具、劳力，启动工程设备，并组织安排有适当资质、经验和能力的工作人员等必要条件的提供方：</w:t>
      </w:r>
      <w:r>
        <w:rPr>
          <w:rFonts w:hint="eastAsia" w:ascii="宋体" w:hAnsi="宋体"/>
          <w:color w:val="auto"/>
          <w:szCs w:val="21"/>
          <w:highlight w:val="none"/>
          <w:u w:val="single"/>
        </w:rPr>
        <w:t>另行约定</w:t>
      </w:r>
      <w:r>
        <w:rPr>
          <w:rFonts w:hint="eastAsia" w:ascii="宋体" w:hAnsi="宋体"/>
          <w:color w:val="auto"/>
          <w:szCs w:val="21"/>
          <w:highlight w:val="none"/>
        </w:rPr>
        <w:t>。</w:t>
      </w:r>
    </w:p>
    <w:p>
      <w:pPr>
        <w:pStyle w:val="246"/>
        <w:spacing w:after="120"/>
        <w:ind w:firstLine="420"/>
        <w:outlineLvl w:val="9"/>
        <w:rPr>
          <w:b w:val="0"/>
          <w:bCs/>
          <w:color w:val="auto"/>
          <w:sz w:val="21"/>
          <w:szCs w:val="21"/>
          <w:highlight w:val="none"/>
        </w:rPr>
      </w:pPr>
      <w:bookmarkStart w:id="49" w:name="_Toc54862344"/>
      <w:r>
        <w:rPr>
          <w:rFonts w:hint="eastAsia"/>
          <w:b w:val="0"/>
          <w:bCs/>
          <w:color w:val="auto"/>
          <w:sz w:val="21"/>
          <w:szCs w:val="21"/>
          <w:highlight w:val="none"/>
        </w:rPr>
        <w:t>第</w:t>
      </w:r>
      <w:r>
        <w:rPr>
          <w:b w:val="0"/>
          <w:bCs/>
          <w:color w:val="auto"/>
          <w:sz w:val="21"/>
          <w:szCs w:val="21"/>
          <w:highlight w:val="none"/>
        </w:rPr>
        <w:t>13条</w:t>
      </w:r>
      <w:r>
        <w:rPr>
          <w:rFonts w:hint="eastAsia"/>
          <w:b w:val="0"/>
          <w:bCs/>
          <w:color w:val="auto"/>
          <w:sz w:val="21"/>
          <w:szCs w:val="21"/>
          <w:highlight w:val="none"/>
        </w:rPr>
        <w:t xml:space="preserve"> 变更与调整</w:t>
      </w:r>
      <w:bookmarkEnd w:id="49"/>
    </w:p>
    <w:p>
      <w:pPr>
        <w:spacing w:line="360" w:lineRule="auto"/>
        <w:ind w:firstLine="420"/>
        <w:rPr>
          <w:rFonts w:ascii="宋体" w:hAnsi="宋体"/>
          <w:color w:val="auto"/>
          <w:szCs w:val="21"/>
          <w:highlight w:val="none"/>
        </w:rPr>
      </w:pPr>
      <w:r>
        <w:rPr>
          <w:rFonts w:ascii="宋体" w:hAnsi="宋体"/>
          <w:color w:val="auto"/>
          <w:szCs w:val="21"/>
          <w:highlight w:val="none"/>
        </w:rPr>
        <w:t xml:space="preserve">13.2 </w:t>
      </w:r>
      <w:r>
        <w:rPr>
          <w:rFonts w:hint="eastAsia" w:ascii="宋体" w:hAnsi="宋体"/>
          <w:color w:val="auto"/>
          <w:szCs w:val="21"/>
          <w:highlight w:val="none"/>
        </w:rPr>
        <w:t>承包人的合理化建议</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13.2.2 </w:t>
      </w:r>
      <w:r>
        <w:rPr>
          <w:rFonts w:hint="eastAsia" w:ascii="宋体" w:hAnsi="宋体"/>
          <w:color w:val="auto"/>
          <w:szCs w:val="21"/>
          <w:highlight w:val="none"/>
        </w:rPr>
        <w:t>工程师应在收到承包人提交的合理化建议后</w:t>
      </w:r>
      <w:r>
        <w:rPr>
          <w:rFonts w:hint="eastAsia" w:ascii="宋体" w:hAnsi="宋体"/>
          <w:color w:val="auto"/>
          <w:szCs w:val="21"/>
          <w:highlight w:val="none"/>
          <w:u w:val="single"/>
        </w:rPr>
        <w:t xml:space="preserve"> </w:t>
      </w:r>
      <w:r>
        <w:rPr>
          <w:rFonts w:ascii="宋体" w:hAnsi="宋体"/>
          <w:color w:val="auto"/>
          <w:szCs w:val="21"/>
          <w:highlight w:val="none"/>
          <w:u w:val="single"/>
        </w:rPr>
        <w:t>7</w:t>
      </w:r>
      <w:r>
        <w:rPr>
          <w:rFonts w:hint="eastAsia" w:ascii="宋体" w:hAnsi="宋体"/>
          <w:color w:val="auto"/>
          <w:szCs w:val="21"/>
          <w:highlight w:val="none"/>
          <w:u w:val="single"/>
        </w:rPr>
        <w:t xml:space="preserve"> </w:t>
      </w:r>
      <w:r>
        <w:rPr>
          <w:rFonts w:hint="eastAsia" w:ascii="宋体" w:hAnsi="宋体"/>
          <w:color w:val="auto"/>
          <w:szCs w:val="21"/>
          <w:highlight w:val="none"/>
        </w:rPr>
        <w:t>日内审查完毕并报送发包人，发现其中存在技术上的缺陷，应通知承包人修改。发包人应在收到工程师报送的合理化建议后</w:t>
      </w:r>
      <w:r>
        <w:rPr>
          <w:rFonts w:ascii="宋体" w:hAnsi="宋体"/>
          <w:color w:val="auto"/>
          <w:szCs w:val="21"/>
          <w:highlight w:val="none"/>
          <w:u w:val="single"/>
        </w:rPr>
        <w:t xml:space="preserve"> 7  </w:t>
      </w:r>
      <w:r>
        <w:rPr>
          <w:rFonts w:hint="eastAsia" w:ascii="宋体" w:hAnsi="宋体"/>
          <w:color w:val="auto"/>
          <w:szCs w:val="21"/>
          <w:highlight w:val="none"/>
        </w:rPr>
        <w:t>日内审批完毕。合理化建议经发包人批准的，工程师应及时发出变更指示，由此引起的合同价格调整按照</w:t>
      </w:r>
      <w:r>
        <w:rPr>
          <w:rFonts w:hint="eastAsia" w:ascii="宋体" w:hAnsi="宋体"/>
          <w:color w:val="auto"/>
          <w:szCs w:val="21"/>
          <w:highlight w:val="none"/>
          <w:u w:val="single"/>
        </w:rPr>
        <w:t xml:space="preserve">  相关规定  </w:t>
      </w:r>
      <w:r>
        <w:rPr>
          <w:rFonts w:hint="eastAsia" w:ascii="宋体" w:hAnsi="宋体"/>
          <w:color w:val="auto"/>
          <w:szCs w:val="21"/>
          <w:highlight w:val="none"/>
        </w:rPr>
        <w:t>执行。发包人不同意变更的，工程师应书面通知承包人</w:t>
      </w:r>
    </w:p>
    <w:p>
      <w:pPr>
        <w:spacing w:line="360" w:lineRule="auto"/>
        <w:ind w:firstLine="420"/>
        <w:rPr>
          <w:rFonts w:ascii="宋体" w:hAnsi="宋体"/>
          <w:color w:val="auto"/>
          <w:szCs w:val="21"/>
          <w:highlight w:val="none"/>
        </w:rPr>
      </w:pPr>
      <w:r>
        <w:rPr>
          <w:rFonts w:ascii="宋体" w:hAnsi="宋体"/>
          <w:color w:val="auto"/>
          <w:szCs w:val="21"/>
          <w:highlight w:val="none"/>
        </w:rPr>
        <w:t>13.2.3 承包人提出的</w:t>
      </w:r>
      <w:r>
        <w:rPr>
          <w:rFonts w:hint="eastAsia" w:ascii="宋体" w:hAnsi="宋体"/>
          <w:color w:val="auto"/>
          <w:szCs w:val="21"/>
          <w:highlight w:val="none"/>
        </w:rPr>
        <w:t>合理化变更</w:t>
      </w:r>
      <w:r>
        <w:rPr>
          <w:rFonts w:ascii="宋体" w:hAnsi="宋体"/>
          <w:color w:val="auto"/>
          <w:szCs w:val="21"/>
          <w:highlight w:val="none"/>
        </w:rPr>
        <w:t>建议的</w:t>
      </w:r>
      <w:r>
        <w:rPr>
          <w:rFonts w:hint="eastAsia" w:ascii="宋体" w:hAnsi="宋体"/>
          <w:color w:val="auto"/>
          <w:szCs w:val="21"/>
          <w:highlight w:val="none"/>
        </w:rPr>
        <w:t>利益分享约定</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13.3 </w:t>
      </w:r>
      <w:r>
        <w:rPr>
          <w:rFonts w:hint="eastAsia" w:ascii="宋体" w:hAnsi="宋体"/>
          <w:color w:val="auto"/>
          <w:szCs w:val="21"/>
          <w:highlight w:val="none"/>
        </w:rPr>
        <w:t>变更程序</w:t>
      </w:r>
    </w:p>
    <w:p>
      <w:pPr>
        <w:spacing w:line="360" w:lineRule="auto"/>
        <w:ind w:firstLine="420"/>
        <w:rPr>
          <w:rFonts w:ascii="宋体" w:hAnsi="宋体"/>
          <w:color w:val="auto"/>
          <w:szCs w:val="21"/>
          <w:highlight w:val="none"/>
        </w:rPr>
      </w:pPr>
      <w:r>
        <w:rPr>
          <w:rFonts w:ascii="宋体" w:hAnsi="宋体"/>
          <w:color w:val="auto"/>
          <w:szCs w:val="21"/>
          <w:highlight w:val="none"/>
        </w:rPr>
        <w:t>13.3.3 变更估价</w:t>
      </w:r>
    </w:p>
    <w:p>
      <w:pPr>
        <w:spacing w:line="360" w:lineRule="auto"/>
        <w:ind w:firstLine="420"/>
        <w:rPr>
          <w:rFonts w:ascii="宋体" w:hAnsi="宋体"/>
          <w:color w:val="auto"/>
          <w:szCs w:val="21"/>
          <w:highlight w:val="none"/>
        </w:rPr>
      </w:pPr>
      <w:r>
        <w:rPr>
          <w:rFonts w:ascii="宋体" w:hAnsi="宋体"/>
          <w:color w:val="auto"/>
          <w:szCs w:val="21"/>
          <w:highlight w:val="none"/>
        </w:rPr>
        <w:t>13.3.3.1 变更估价原则</w:t>
      </w:r>
    </w:p>
    <w:p>
      <w:pPr>
        <w:spacing w:line="360" w:lineRule="auto"/>
        <w:ind w:firstLine="420"/>
        <w:rPr>
          <w:rFonts w:ascii="宋体" w:hAnsi="宋体"/>
          <w:color w:val="auto"/>
          <w:sz w:val="28"/>
          <w:highlight w:val="none"/>
        </w:rPr>
      </w:pPr>
      <w:r>
        <w:rPr>
          <w:rFonts w:hint="eastAsia" w:ascii="宋体" w:hAnsi="宋体"/>
          <w:color w:val="auto"/>
          <w:szCs w:val="21"/>
          <w:highlight w:val="none"/>
        </w:rPr>
        <w:t>关于变更估价原则的约定：</w:t>
      </w:r>
    </w:p>
    <w:p>
      <w:pPr>
        <w:spacing w:line="360" w:lineRule="auto"/>
        <w:ind w:firstLine="422"/>
        <w:rPr>
          <w:rFonts w:ascii="宋体" w:hAnsi="宋体"/>
          <w:b/>
          <w:color w:val="auto"/>
          <w:szCs w:val="21"/>
          <w:highlight w:val="none"/>
          <w:u w:val="single"/>
        </w:rPr>
      </w:pPr>
      <w:r>
        <w:rPr>
          <w:rFonts w:hint="eastAsia" w:ascii="宋体" w:hAnsi="宋体" w:cs="宋体"/>
          <w:b/>
          <w:color w:val="auto"/>
          <w:szCs w:val="21"/>
          <w:highlight w:val="none"/>
          <w:u w:val="single"/>
        </w:rPr>
        <w:t>结算采用固定单价</w:t>
      </w:r>
      <w:r>
        <w:rPr>
          <w:rFonts w:ascii="宋体" w:hAnsi="宋体" w:cs="宋体"/>
          <w:b/>
          <w:color w:val="auto"/>
          <w:szCs w:val="21"/>
          <w:highlight w:val="none"/>
          <w:u w:val="single"/>
        </w:rPr>
        <w:t>方式，</w:t>
      </w:r>
      <w:r>
        <w:rPr>
          <w:rFonts w:hint="eastAsia" w:ascii="宋体" w:hAnsi="宋体" w:cs="宋体"/>
          <w:b/>
          <w:color w:val="auto"/>
          <w:szCs w:val="21"/>
          <w:highlight w:val="none"/>
          <w:u w:val="single"/>
        </w:rPr>
        <w:t>承包人</w:t>
      </w:r>
      <w:r>
        <w:rPr>
          <w:rFonts w:ascii="宋体" w:hAnsi="宋体" w:cs="宋体"/>
          <w:b/>
          <w:color w:val="auto"/>
          <w:szCs w:val="21"/>
          <w:highlight w:val="none"/>
          <w:u w:val="single"/>
        </w:rPr>
        <w:t>的结算总价</w:t>
      </w:r>
      <w:r>
        <w:rPr>
          <w:rFonts w:hint="eastAsia" w:ascii="宋体" w:hAnsi="宋体" w:cs="宋体"/>
          <w:b/>
          <w:color w:val="auto"/>
          <w:szCs w:val="21"/>
          <w:highlight w:val="none"/>
          <w:u w:val="single"/>
        </w:rPr>
        <w:t>为</w:t>
      </w:r>
      <w:r>
        <w:rPr>
          <w:rFonts w:hint="eastAsia" w:ascii="宋体" w:hAnsi="宋体" w:cs="宋体"/>
          <w:b/>
          <w:bCs/>
          <w:color w:val="auto"/>
          <w:szCs w:val="21"/>
          <w:highlight w:val="none"/>
          <w:u w:val="single"/>
        </w:rPr>
        <w:t>根据光伏板标定的额定发电容量乘以投标单价</w:t>
      </w:r>
      <w:r>
        <w:rPr>
          <w:rFonts w:hint="eastAsia" w:ascii="宋体" w:hAnsi="宋体"/>
          <w:b/>
          <w:color w:val="auto"/>
          <w:szCs w:val="21"/>
          <w:highlight w:val="none"/>
          <w:u w:val="single"/>
        </w:rPr>
        <w:t>，单价不做调整</w:t>
      </w:r>
      <w:r>
        <w:rPr>
          <w:rFonts w:hint="eastAsia" w:ascii="宋体" w:hAnsi="宋体"/>
          <w:b/>
          <w:color w:val="auto"/>
          <w:szCs w:val="21"/>
          <w:highlight w:val="none"/>
        </w:rPr>
        <w:t>。</w:t>
      </w:r>
    </w:p>
    <w:p>
      <w:pPr>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rPr>
        <w:t>（</w:t>
      </w:r>
      <w:r>
        <w:rPr>
          <w:rFonts w:ascii="宋体" w:hAnsi="宋体" w:cs="宋体"/>
          <w:b/>
          <w:color w:val="auto"/>
          <w:szCs w:val="21"/>
          <w:highlight w:val="none"/>
        </w:rPr>
        <w:t>1</w:t>
      </w:r>
      <w:r>
        <w:rPr>
          <w:rFonts w:hint="eastAsia" w:ascii="宋体" w:hAnsi="宋体" w:cs="宋体"/>
          <w:b/>
          <w:color w:val="auto"/>
          <w:szCs w:val="21"/>
          <w:highlight w:val="none"/>
        </w:rPr>
        <w:t>）</w:t>
      </w:r>
      <w:r>
        <w:rPr>
          <w:rFonts w:hint="eastAsia" w:ascii="宋体" w:hAnsi="宋体" w:cs="宋体"/>
          <w:b/>
          <w:color w:val="auto"/>
          <w:szCs w:val="21"/>
          <w:highlight w:val="none"/>
          <w:u w:val="single"/>
        </w:rPr>
        <w:t>发生下列情况的，工程量清单项目和合同</w:t>
      </w:r>
      <w:r>
        <w:rPr>
          <w:rFonts w:ascii="宋体" w:hAnsi="宋体" w:cs="宋体"/>
          <w:b/>
          <w:color w:val="auto"/>
          <w:szCs w:val="21"/>
          <w:highlight w:val="none"/>
          <w:u w:val="single"/>
        </w:rPr>
        <w:t>总价不</w:t>
      </w:r>
      <w:r>
        <w:rPr>
          <w:rFonts w:hint="eastAsia" w:ascii="宋体" w:hAnsi="宋体" w:cs="宋体"/>
          <w:b/>
          <w:color w:val="auto"/>
          <w:szCs w:val="21"/>
          <w:highlight w:val="none"/>
          <w:u w:val="single"/>
        </w:rPr>
        <w:t>予调整</w:t>
      </w:r>
      <w:r>
        <w:rPr>
          <w:rFonts w:hint="eastAsia" w:ascii="宋体" w:hAnsi="宋体" w:cs="宋体"/>
          <w:b/>
          <w:color w:val="auto"/>
          <w:szCs w:val="21"/>
          <w:highlight w:val="none"/>
        </w:rPr>
        <w:t>：</w:t>
      </w:r>
    </w:p>
    <w:p>
      <w:pPr>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因</w:t>
      </w:r>
      <w:r>
        <w:rPr>
          <w:rFonts w:ascii="宋体" w:hAnsi="宋体" w:cs="宋体"/>
          <w:b/>
          <w:color w:val="auto"/>
          <w:szCs w:val="21"/>
          <w:highlight w:val="none"/>
          <w:u w:val="single"/>
        </w:rPr>
        <w:t>承包人原因</w:t>
      </w:r>
      <w:r>
        <w:rPr>
          <w:rFonts w:hint="eastAsia" w:ascii="宋体" w:hAnsi="宋体" w:cs="宋体"/>
          <w:b/>
          <w:color w:val="auto"/>
          <w:szCs w:val="21"/>
          <w:highlight w:val="none"/>
          <w:u w:val="single"/>
        </w:rPr>
        <w:t>在</w:t>
      </w:r>
      <w:r>
        <w:rPr>
          <w:rFonts w:ascii="宋体" w:hAnsi="宋体" w:cs="宋体"/>
          <w:b/>
          <w:color w:val="auto"/>
          <w:szCs w:val="21"/>
          <w:highlight w:val="none"/>
          <w:u w:val="single"/>
        </w:rPr>
        <w:t>设计施工图后导致</w:t>
      </w:r>
      <w:r>
        <w:rPr>
          <w:rFonts w:hint="eastAsia" w:ascii="宋体" w:hAnsi="宋体" w:cs="宋体"/>
          <w:b/>
          <w:color w:val="auto"/>
          <w:szCs w:val="21"/>
          <w:highlight w:val="none"/>
          <w:u w:val="single"/>
        </w:rPr>
        <w:t>工程量清单项目发生变动，</w:t>
      </w:r>
      <w:r>
        <w:rPr>
          <w:rFonts w:ascii="宋体" w:hAnsi="宋体" w:cs="宋体"/>
          <w:b/>
          <w:color w:val="auto"/>
          <w:szCs w:val="21"/>
          <w:highlight w:val="none"/>
          <w:u w:val="single"/>
        </w:rPr>
        <w:t>或</w:t>
      </w:r>
      <w:r>
        <w:rPr>
          <w:rFonts w:hint="eastAsia" w:ascii="宋体" w:hAnsi="宋体" w:cs="宋体"/>
          <w:b/>
          <w:color w:val="auto"/>
          <w:szCs w:val="21"/>
          <w:highlight w:val="none"/>
          <w:u w:val="single"/>
        </w:rPr>
        <w:t>与原招标工程量清单的特征描述不符；</w:t>
      </w:r>
    </w:p>
    <w:p>
      <w:pPr>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rPr>
        <w:t>（</w:t>
      </w:r>
      <w:r>
        <w:rPr>
          <w:rFonts w:ascii="宋体" w:hAnsi="宋体" w:cs="宋体"/>
          <w:b/>
          <w:color w:val="auto"/>
          <w:szCs w:val="21"/>
          <w:highlight w:val="none"/>
        </w:rPr>
        <w:t>2)</w:t>
      </w:r>
      <w:r>
        <w:rPr>
          <w:rFonts w:hint="eastAsia" w:ascii="宋体" w:hAnsi="宋体" w:cs="宋体"/>
          <w:b/>
          <w:color w:val="auto"/>
          <w:szCs w:val="21"/>
          <w:highlight w:val="none"/>
          <w:u w:val="single"/>
        </w:rPr>
        <w:t>发生下列情况的，工程量清单项目的工程量和合同单</w:t>
      </w:r>
      <w:r>
        <w:rPr>
          <w:rFonts w:ascii="宋体" w:hAnsi="宋体" w:cs="宋体"/>
          <w:b/>
          <w:color w:val="auto"/>
          <w:szCs w:val="21"/>
          <w:highlight w:val="none"/>
          <w:u w:val="single"/>
        </w:rPr>
        <w:t>价</w:t>
      </w:r>
      <w:r>
        <w:rPr>
          <w:rFonts w:hint="eastAsia" w:ascii="宋体" w:hAnsi="宋体" w:cs="宋体"/>
          <w:b/>
          <w:color w:val="auto"/>
          <w:szCs w:val="21"/>
          <w:highlight w:val="none"/>
          <w:u w:val="single"/>
        </w:rPr>
        <w:t>应予调整</w:t>
      </w:r>
      <w:r>
        <w:rPr>
          <w:rFonts w:hint="eastAsia" w:ascii="宋体" w:hAnsi="宋体" w:cs="宋体"/>
          <w:b/>
          <w:color w:val="auto"/>
          <w:szCs w:val="21"/>
          <w:highlight w:val="none"/>
        </w:rPr>
        <w:t>：</w:t>
      </w:r>
    </w:p>
    <w:p>
      <w:pPr>
        <w:spacing w:line="360" w:lineRule="auto"/>
        <w:ind w:firstLine="422" w:firstLineChars="200"/>
        <w:rPr>
          <w:rFonts w:ascii="宋体" w:hAnsi="宋体"/>
          <w:color w:val="auto"/>
          <w:highlight w:val="none"/>
        </w:rPr>
      </w:pPr>
      <w:r>
        <w:rPr>
          <w:rFonts w:hint="eastAsia" w:ascii="宋体" w:hAnsi="宋体"/>
          <w:b/>
          <w:color w:val="auto"/>
          <w:szCs w:val="21"/>
          <w:highlight w:val="none"/>
          <w:u w:val="single"/>
        </w:rPr>
        <w:t>由于发包人</w:t>
      </w:r>
      <w:r>
        <w:rPr>
          <w:rFonts w:ascii="宋体" w:hAnsi="宋体"/>
          <w:b/>
          <w:color w:val="auto"/>
          <w:szCs w:val="21"/>
          <w:highlight w:val="none"/>
          <w:u w:val="single"/>
        </w:rPr>
        <w:t>原因</w:t>
      </w:r>
      <w:r>
        <w:rPr>
          <w:rFonts w:hint="eastAsia" w:ascii="宋体" w:hAnsi="宋体"/>
          <w:b/>
          <w:color w:val="auto"/>
          <w:szCs w:val="21"/>
          <w:highlight w:val="none"/>
          <w:u w:val="single"/>
        </w:rPr>
        <w:t>需要</w:t>
      </w:r>
      <w:r>
        <w:rPr>
          <w:rFonts w:ascii="宋体" w:hAnsi="宋体"/>
          <w:b/>
          <w:color w:val="auto"/>
          <w:szCs w:val="21"/>
          <w:highlight w:val="none"/>
          <w:u w:val="single"/>
        </w:rPr>
        <w:t>新增或取消</w:t>
      </w:r>
      <w:r>
        <w:rPr>
          <w:rFonts w:hint="eastAsia" w:ascii="宋体" w:hAnsi="宋体"/>
          <w:b/>
          <w:color w:val="auto"/>
          <w:szCs w:val="21"/>
          <w:highlight w:val="none"/>
          <w:u w:val="single"/>
        </w:rPr>
        <w:t>或更改的</w:t>
      </w:r>
      <w:r>
        <w:rPr>
          <w:rFonts w:ascii="宋体" w:hAnsi="宋体"/>
          <w:b/>
          <w:color w:val="auto"/>
          <w:szCs w:val="21"/>
          <w:highlight w:val="none"/>
          <w:u w:val="single"/>
        </w:rPr>
        <w:t>工程量</w:t>
      </w:r>
      <w:r>
        <w:rPr>
          <w:rFonts w:hint="eastAsia" w:ascii="宋体" w:hAnsi="宋体"/>
          <w:b/>
          <w:color w:val="auto"/>
          <w:szCs w:val="21"/>
          <w:highlight w:val="none"/>
          <w:u w:val="single"/>
        </w:rPr>
        <w:t>项目</w:t>
      </w:r>
      <w:r>
        <w:rPr>
          <w:rFonts w:hint="eastAsia" w:ascii="宋体" w:hAnsi="宋体" w:cs="宋体"/>
          <w:b/>
          <w:color w:val="auto"/>
          <w:szCs w:val="21"/>
          <w:highlight w:val="none"/>
        </w:rPr>
        <w:t>；</w:t>
      </w:r>
    </w:p>
    <w:p>
      <w:pPr>
        <w:numPr>
          <w:ilvl w:val="255"/>
          <w:numId w:val="0"/>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b/>
          <w:color w:val="auto"/>
          <w:szCs w:val="21"/>
          <w:highlight w:val="none"/>
          <w:u w:val="single"/>
        </w:rPr>
        <w:t>综合单价调整：因发包人要求变更主要材料或工程数量变化，按以下规定调整综合单价</w:t>
      </w:r>
      <w:r>
        <w:rPr>
          <w:rFonts w:hint="eastAsia" w:ascii="宋体" w:hAnsi="宋体" w:cs="宋体"/>
          <w:b/>
          <w:color w:val="auto"/>
          <w:szCs w:val="21"/>
          <w:highlight w:val="none"/>
        </w:rPr>
        <w:t>：</w:t>
      </w:r>
    </w:p>
    <w:p>
      <w:pPr>
        <w:numPr>
          <w:ilvl w:val="255"/>
          <w:numId w:val="0"/>
        </w:numPr>
        <w:spacing w:line="360" w:lineRule="auto"/>
        <w:ind w:left="420"/>
        <w:rPr>
          <w:rFonts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u w:val="single"/>
        </w:rPr>
        <w:t>已标价工程量清单中有适用综合单价的，按原综合单价</w:t>
      </w:r>
      <w:r>
        <w:rPr>
          <w:rFonts w:hint="eastAsia" w:ascii="宋体" w:hAnsi="宋体" w:cs="宋体"/>
          <w:b/>
          <w:color w:val="auto"/>
          <w:szCs w:val="21"/>
          <w:highlight w:val="none"/>
        </w:rPr>
        <w:t>；</w:t>
      </w:r>
    </w:p>
    <w:p>
      <w:pPr>
        <w:numPr>
          <w:ilvl w:val="255"/>
          <w:numId w:val="0"/>
        </w:numPr>
        <w:spacing w:line="360" w:lineRule="auto"/>
        <w:ind w:left="420"/>
        <w:rPr>
          <w:rFonts w:ascii="宋体" w:hAnsi="宋体" w:cs="宋体"/>
          <w:b/>
          <w:color w:val="auto"/>
          <w:szCs w:val="21"/>
          <w:highlight w:val="none"/>
          <w:u w:val="single"/>
        </w:rPr>
      </w:pPr>
      <w:r>
        <w:rPr>
          <w:rFonts w:ascii="宋体" w:hAnsi="宋体" w:cs="宋体"/>
          <w:b/>
          <w:color w:val="auto"/>
          <w:szCs w:val="21"/>
          <w:highlight w:val="none"/>
        </w:rPr>
        <w:t>2)</w:t>
      </w:r>
      <w:r>
        <w:rPr>
          <w:rFonts w:hint="eastAsia" w:ascii="宋体" w:hAnsi="宋体" w:cs="宋体"/>
          <w:b/>
          <w:color w:val="auto"/>
          <w:szCs w:val="21"/>
          <w:highlight w:val="none"/>
          <w:u w:val="single"/>
        </w:rPr>
        <w:t>已标价工程量清单中没有适用的综合单价，但有类似的工程项目综合单价，参照该类似项目的综合单价计算确定</w:t>
      </w:r>
      <w:r>
        <w:rPr>
          <w:rFonts w:hint="eastAsia" w:ascii="宋体" w:hAnsi="宋体" w:cs="宋体"/>
          <w:b/>
          <w:color w:val="auto"/>
          <w:szCs w:val="21"/>
          <w:highlight w:val="none"/>
        </w:rPr>
        <w:t>；</w:t>
      </w:r>
    </w:p>
    <w:p>
      <w:pPr>
        <w:numPr>
          <w:ilvl w:val="255"/>
          <w:numId w:val="0"/>
        </w:numPr>
        <w:spacing w:line="360" w:lineRule="auto"/>
        <w:ind w:left="420"/>
        <w:rPr>
          <w:rFonts w:ascii="宋体" w:hAnsi="宋体"/>
          <w:color w:val="auto"/>
          <w:highlight w:val="none"/>
        </w:rPr>
      </w:pPr>
      <w:r>
        <w:rPr>
          <w:rFonts w:hint="eastAsia" w:ascii="宋体" w:hAnsi="宋体" w:cs="宋体"/>
          <w:b/>
          <w:color w:val="auto"/>
          <w:szCs w:val="21"/>
          <w:highlight w:val="none"/>
        </w:rPr>
        <w:t>3）</w:t>
      </w:r>
      <w:r>
        <w:rPr>
          <w:rFonts w:hint="eastAsia" w:ascii="宋体" w:hAnsi="宋体" w:cs="宋体"/>
          <w:b/>
          <w:color w:val="auto"/>
          <w:szCs w:val="21"/>
          <w:highlight w:val="none"/>
          <w:u w:val="single"/>
        </w:rPr>
        <w:t>已标价工程量清单中没用适用的综合单价，经发包人确认后执行</w:t>
      </w:r>
      <w:r>
        <w:rPr>
          <w:rFonts w:hint="eastAsia" w:ascii="宋体" w:hAnsi="宋体" w:cs="宋体"/>
          <w:b/>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13.4 </w:t>
      </w:r>
      <w:r>
        <w:rPr>
          <w:rFonts w:hint="eastAsia" w:ascii="宋体" w:hAnsi="宋体"/>
          <w:color w:val="auto"/>
          <w:szCs w:val="21"/>
          <w:highlight w:val="none"/>
        </w:rPr>
        <w:t>暂估价</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13.4.1 </w:t>
      </w:r>
      <w:r>
        <w:rPr>
          <w:rFonts w:hint="eastAsia" w:ascii="宋体" w:hAnsi="宋体"/>
          <w:color w:val="auto"/>
          <w:szCs w:val="21"/>
          <w:highlight w:val="none"/>
        </w:rPr>
        <w:t>依法必须招标的暂估价项目</w:t>
      </w:r>
    </w:p>
    <w:p>
      <w:pPr>
        <w:spacing w:line="360" w:lineRule="auto"/>
        <w:ind w:firstLine="420"/>
        <w:rPr>
          <w:rFonts w:ascii="宋体" w:hAnsi="宋体"/>
          <w:color w:val="auto"/>
          <w:szCs w:val="21"/>
          <w:highlight w:val="none"/>
        </w:rPr>
      </w:pPr>
      <w:r>
        <w:rPr>
          <w:rFonts w:hint="eastAsia" w:ascii="宋体" w:hAnsi="宋体"/>
          <w:color w:val="auto"/>
          <w:szCs w:val="21"/>
          <w:highlight w:val="none"/>
        </w:rPr>
        <w:t>承包人可以参与投标的暂估价项目范围：</w:t>
      </w:r>
      <w:r>
        <w:rPr>
          <w:rFonts w:hint="eastAsia" w:ascii="宋体" w:hAnsi="宋体"/>
          <w:color w:val="auto"/>
          <w:szCs w:val="21"/>
          <w:highlight w:val="none"/>
          <w:u w:val="single"/>
        </w:rPr>
        <w:t>本工程无暂估价</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承包人不得参与投标的暂估价项目范围：</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招投标程序及其他约定：</w:t>
      </w:r>
      <w:r>
        <w:rPr>
          <w:rFonts w:hint="eastAsia" w:ascii="宋体" w:hAnsi="宋体"/>
          <w:color w:val="auto"/>
          <w:szCs w:val="21"/>
          <w:highlight w:val="none"/>
          <w:u w:val="single"/>
        </w:rPr>
        <w:t>根据现行</w:t>
      </w:r>
      <w:r>
        <w:rPr>
          <w:rFonts w:ascii="宋体" w:hAnsi="宋体"/>
          <w:color w:val="auto"/>
          <w:szCs w:val="21"/>
          <w:highlight w:val="none"/>
          <w:u w:val="single"/>
        </w:rPr>
        <w:t>的招投标管理规定</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13.4.2 </w:t>
      </w:r>
      <w:r>
        <w:rPr>
          <w:rFonts w:hint="eastAsia" w:ascii="宋体" w:hAnsi="宋体"/>
          <w:color w:val="auto"/>
          <w:szCs w:val="21"/>
          <w:highlight w:val="none"/>
        </w:rPr>
        <w:t>不属于依法必须招标的暂估价项目</w:t>
      </w:r>
    </w:p>
    <w:p>
      <w:pPr>
        <w:spacing w:line="360" w:lineRule="auto"/>
        <w:ind w:firstLine="420"/>
        <w:rPr>
          <w:rFonts w:ascii="宋体" w:hAnsi="宋体"/>
          <w:color w:val="auto"/>
          <w:szCs w:val="21"/>
          <w:highlight w:val="none"/>
        </w:rPr>
      </w:pPr>
      <w:r>
        <w:rPr>
          <w:rFonts w:hint="eastAsia" w:ascii="宋体" w:hAnsi="宋体"/>
          <w:color w:val="auto"/>
          <w:szCs w:val="21"/>
          <w:highlight w:val="none"/>
        </w:rPr>
        <w:t>不属于依法必须招标的暂估价项目的协商及估价的约定：</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13.5 </w:t>
      </w:r>
      <w:r>
        <w:rPr>
          <w:rFonts w:hint="eastAsia" w:ascii="宋体" w:hAnsi="宋体"/>
          <w:color w:val="auto"/>
          <w:szCs w:val="21"/>
          <w:highlight w:val="none"/>
        </w:rPr>
        <w:t>暂列金额</w:t>
      </w:r>
    </w:p>
    <w:p>
      <w:pPr>
        <w:spacing w:line="360" w:lineRule="auto"/>
        <w:ind w:firstLine="420"/>
        <w:rPr>
          <w:rFonts w:ascii="宋体" w:hAnsi="宋体"/>
          <w:color w:val="auto"/>
          <w:szCs w:val="21"/>
          <w:highlight w:val="none"/>
        </w:rPr>
      </w:pPr>
      <w:r>
        <w:rPr>
          <w:rFonts w:hint="eastAsia" w:ascii="宋体" w:hAnsi="宋体"/>
          <w:color w:val="auto"/>
          <w:szCs w:val="21"/>
          <w:highlight w:val="none"/>
        </w:rPr>
        <w:t>其他关于暂列金额使用的约定：</w:t>
      </w:r>
      <w:r>
        <w:rPr>
          <w:rFonts w:hint="eastAsia" w:ascii="宋体" w:hAnsi="宋体"/>
          <w:color w:val="auto"/>
          <w:szCs w:val="21"/>
          <w:highlight w:val="none"/>
          <w:u w:val="single"/>
        </w:rPr>
        <w:t>本工程无暂列金</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13.8 </w:t>
      </w:r>
      <w:r>
        <w:rPr>
          <w:rFonts w:hint="eastAsia" w:ascii="宋体" w:hAnsi="宋体"/>
          <w:color w:val="auto"/>
          <w:szCs w:val="21"/>
          <w:highlight w:val="none"/>
        </w:rPr>
        <w:t>市场价格波动引起的调整</w:t>
      </w:r>
    </w:p>
    <w:p>
      <w:pPr>
        <w:spacing w:line="360" w:lineRule="auto"/>
        <w:ind w:firstLine="42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 xml:space="preserve">3.8.2 </w:t>
      </w:r>
      <w:r>
        <w:rPr>
          <w:rFonts w:hint="eastAsia" w:ascii="宋体" w:hAnsi="宋体"/>
          <w:color w:val="auto"/>
          <w:szCs w:val="21"/>
          <w:highlight w:val="none"/>
        </w:rPr>
        <w:t>关于是否采用《价格指数权重表》的约定：</w:t>
      </w:r>
      <w:r>
        <w:rPr>
          <w:rFonts w:ascii="宋体" w:hAnsi="宋体"/>
          <w:color w:val="auto"/>
          <w:szCs w:val="21"/>
          <w:highlight w:val="none"/>
          <w:u w:val="single"/>
        </w:rPr>
        <w:t xml:space="preserve"> </w:t>
      </w:r>
      <w:r>
        <w:rPr>
          <w:rFonts w:hint="eastAsia" w:ascii="宋体" w:hAnsi="宋体"/>
          <w:color w:val="auto"/>
          <w:szCs w:val="21"/>
          <w:highlight w:val="none"/>
          <w:u w:val="single"/>
        </w:rPr>
        <w:t>否</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rPr>
          <w:rFonts w:ascii="宋体" w:hAnsi="宋体"/>
          <w:color w:val="auto"/>
          <w:szCs w:val="21"/>
          <w:highlight w:val="none"/>
          <w:u w:val="single"/>
        </w:rPr>
      </w:pPr>
      <w:r>
        <w:rPr>
          <w:rFonts w:hint="eastAsia" w:ascii="宋体" w:hAnsi="宋体"/>
          <w:color w:val="auto"/>
          <w:szCs w:val="21"/>
          <w:highlight w:val="none"/>
        </w:rPr>
        <w:t>1</w:t>
      </w:r>
      <w:r>
        <w:rPr>
          <w:rFonts w:ascii="宋体" w:hAnsi="宋体"/>
          <w:color w:val="auto"/>
          <w:szCs w:val="21"/>
          <w:highlight w:val="none"/>
        </w:rPr>
        <w:t xml:space="preserve">3.8.3 </w:t>
      </w:r>
      <w:r>
        <w:rPr>
          <w:rFonts w:hint="eastAsia" w:ascii="宋体" w:hAnsi="宋体"/>
          <w:color w:val="auto"/>
          <w:szCs w:val="21"/>
          <w:highlight w:val="none"/>
        </w:rPr>
        <w:t xml:space="preserve">关于采用其他方式调整合同价款的约定： </w:t>
      </w:r>
      <w:r>
        <w:rPr>
          <w:rFonts w:hint="eastAsia" w:ascii="宋体" w:hAnsi="宋体"/>
          <w:color w:val="auto"/>
          <w:szCs w:val="21"/>
          <w:highlight w:val="none"/>
          <w:u w:val="single"/>
        </w:rPr>
        <w:t xml:space="preserve">不调整： </w:t>
      </w:r>
    </w:p>
    <w:p>
      <w:pPr>
        <w:pStyle w:val="246"/>
        <w:spacing w:after="120"/>
        <w:ind w:firstLine="420"/>
        <w:outlineLvl w:val="9"/>
        <w:rPr>
          <w:b w:val="0"/>
          <w:bCs/>
          <w:color w:val="auto"/>
          <w:sz w:val="21"/>
          <w:szCs w:val="21"/>
          <w:highlight w:val="none"/>
        </w:rPr>
      </w:pPr>
      <w:bookmarkStart w:id="50" w:name="_Toc54862345"/>
      <w:r>
        <w:rPr>
          <w:rFonts w:hint="eastAsia"/>
          <w:b w:val="0"/>
          <w:bCs/>
          <w:color w:val="auto"/>
          <w:sz w:val="21"/>
          <w:szCs w:val="21"/>
          <w:highlight w:val="none"/>
        </w:rPr>
        <w:t>第</w:t>
      </w:r>
      <w:r>
        <w:rPr>
          <w:b w:val="0"/>
          <w:bCs/>
          <w:color w:val="auto"/>
          <w:sz w:val="21"/>
          <w:szCs w:val="21"/>
          <w:highlight w:val="none"/>
        </w:rPr>
        <w:t>14条</w:t>
      </w:r>
      <w:r>
        <w:rPr>
          <w:rFonts w:hint="eastAsia"/>
          <w:b w:val="0"/>
          <w:bCs/>
          <w:color w:val="auto"/>
          <w:sz w:val="21"/>
          <w:szCs w:val="21"/>
          <w:highlight w:val="none"/>
        </w:rPr>
        <w:t xml:space="preserve"> 合同价格与支付</w:t>
      </w:r>
      <w:bookmarkEnd w:id="50"/>
    </w:p>
    <w:p>
      <w:pPr>
        <w:spacing w:line="360" w:lineRule="auto"/>
        <w:ind w:firstLine="420"/>
        <w:rPr>
          <w:rFonts w:ascii="宋体" w:hAnsi="宋体"/>
          <w:color w:val="auto"/>
          <w:szCs w:val="21"/>
          <w:highlight w:val="none"/>
        </w:rPr>
      </w:pPr>
      <w:r>
        <w:rPr>
          <w:rFonts w:ascii="宋体" w:hAnsi="宋体"/>
          <w:color w:val="auto"/>
          <w:szCs w:val="21"/>
          <w:highlight w:val="none"/>
        </w:rPr>
        <w:t xml:space="preserve">14.1 </w:t>
      </w:r>
      <w:r>
        <w:rPr>
          <w:rFonts w:hint="eastAsia" w:ascii="宋体" w:hAnsi="宋体"/>
          <w:color w:val="auto"/>
          <w:szCs w:val="21"/>
          <w:highlight w:val="none"/>
        </w:rPr>
        <w:t>合同价格形式</w:t>
      </w:r>
    </w:p>
    <w:p>
      <w:pPr>
        <w:spacing w:line="360" w:lineRule="auto"/>
        <w:ind w:firstLine="42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 xml:space="preserve">4.1.1 </w:t>
      </w:r>
      <w:r>
        <w:rPr>
          <w:rFonts w:hint="eastAsia" w:ascii="宋体" w:hAnsi="宋体"/>
          <w:color w:val="auto"/>
          <w:szCs w:val="21"/>
          <w:highlight w:val="none"/>
        </w:rPr>
        <w:t>关于合同价格形式的约定：</w:t>
      </w:r>
      <w:r>
        <w:rPr>
          <w:rFonts w:hint="eastAsia" w:ascii="宋体" w:hAnsi="宋体"/>
          <w:color w:val="auto"/>
          <w:szCs w:val="21"/>
          <w:highlight w:val="none"/>
          <w:u w:val="single"/>
        </w:rPr>
        <w:t>固定单价合同</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 xml:space="preserve">4.1.2 </w:t>
      </w:r>
      <w:r>
        <w:rPr>
          <w:rFonts w:hint="eastAsia" w:ascii="宋体" w:hAnsi="宋体"/>
          <w:color w:val="auto"/>
          <w:szCs w:val="21"/>
          <w:highlight w:val="none"/>
        </w:rPr>
        <w:t>关于合同价格调整的约定：</w:t>
      </w:r>
      <w:r>
        <w:rPr>
          <w:rFonts w:hint="eastAsia" w:ascii="宋体" w:hAnsi="宋体"/>
          <w:color w:val="auto"/>
          <w:szCs w:val="21"/>
          <w:highlight w:val="none"/>
          <w:u w:val="single"/>
        </w:rPr>
        <w:t>根据</w:t>
      </w:r>
      <w:r>
        <w:rPr>
          <w:rFonts w:ascii="宋体" w:hAnsi="宋体"/>
          <w:color w:val="auto"/>
          <w:szCs w:val="21"/>
          <w:highlight w:val="none"/>
          <w:u w:val="single"/>
        </w:rPr>
        <w:t>13.3.3.1 变更估价原则</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 xml:space="preserve">4.1.3 </w:t>
      </w:r>
      <w:r>
        <w:rPr>
          <w:rFonts w:hint="eastAsia" w:ascii="宋体" w:hAnsi="宋体"/>
          <w:color w:val="auto"/>
          <w:szCs w:val="21"/>
          <w:highlight w:val="none"/>
        </w:rPr>
        <w:t>按实际完成的工程量支付工程价款的计量方法、估价方法：</w:t>
      </w:r>
      <w:r>
        <w:rPr>
          <w:rFonts w:hint="eastAsia" w:ascii="宋体" w:hAnsi="宋体"/>
          <w:color w:val="auto"/>
          <w:szCs w:val="21"/>
          <w:highlight w:val="none"/>
          <w:u w:val="single"/>
        </w:rPr>
        <w:t>按通用</w:t>
      </w:r>
      <w:r>
        <w:rPr>
          <w:rFonts w:ascii="宋体" w:hAnsi="宋体"/>
          <w:color w:val="auto"/>
          <w:szCs w:val="21"/>
          <w:highlight w:val="none"/>
          <w:u w:val="single"/>
        </w:rPr>
        <w:t>条款</w:t>
      </w:r>
      <w:r>
        <w:rPr>
          <w:rFonts w:hint="eastAsia" w:ascii="宋体" w:hAnsi="宋体"/>
          <w:color w:val="auto"/>
          <w:szCs w:val="21"/>
          <w:highlight w:val="none"/>
        </w:rPr>
        <w:t>。</w:t>
      </w:r>
    </w:p>
    <w:p>
      <w:pPr>
        <w:spacing w:line="312" w:lineRule="auto"/>
        <w:ind w:firstLine="420"/>
        <w:rPr>
          <w:color w:val="auto"/>
          <w:szCs w:val="21"/>
          <w:highlight w:val="none"/>
        </w:rPr>
      </w:pPr>
      <w:r>
        <w:rPr>
          <w:color w:val="auto"/>
          <w:szCs w:val="21"/>
          <w:highlight w:val="none"/>
        </w:rPr>
        <w:t xml:space="preserve">14.2 </w:t>
      </w:r>
      <w:r>
        <w:rPr>
          <w:rFonts w:hint="eastAsia"/>
          <w:color w:val="auto"/>
          <w:szCs w:val="21"/>
          <w:highlight w:val="none"/>
        </w:rPr>
        <w:t>预付款</w:t>
      </w:r>
    </w:p>
    <w:p>
      <w:pPr>
        <w:spacing w:line="312" w:lineRule="auto"/>
        <w:ind w:firstLine="420"/>
        <w:rPr>
          <w:color w:val="auto"/>
          <w:szCs w:val="21"/>
          <w:highlight w:val="none"/>
        </w:rPr>
      </w:pPr>
      <w:r>
        <w:rPr>
          <w:color w:val="auto"/>
          <w:szCs w:val="21"/>
          <w:highlight w:val="none"/>
        </w:rPr>
        <w:t xml:space="preserve">14.2.1 </w:t>
      </w:r>
      <w:r>
        <w:rPr>
          <w:rFonts w:hint="eastAsia"/>
          <w:color w:val="auto"/>
          <w:szCs w:val="21"/>
          <w:highlight w:val="none"/>
        </w:rPr>
        <w:t>预付款支付</w:t>
      </w:r>
    </w:p>
    <w:p>
      <w:pPr>
        <w:spacing w:line="312" w:lineRule="auto"/>
        <w:ind w:firstLine="420"/>
        <w:rPr>
          <w:color w:val="auto"/>
          <w:szCs w:val="21"/>
          <w:highlight w:val="none"/>
        </w:rPr>
      </w:pPr>
      <w:r>
        <w:rPr>
          <w:rFonts w:hint="eastAsia"/>
          <w:color w:val="auto"/>
          <w:szCs w:val="21"/>
          <w:highlight w:val="none"/>
        </w:rPr>
        <w:t>预付款的金额或比例为：</w:t>
      </w:r>
      <w:r>
        <w:rPr>
          <w:rFonts w:hint="eastAsia" w:ascii="宋体" w:hAnsi="宋体" w:cs="宋体"/>
          <w:b/>
          <w:bCs/>
          <w:color w:val="auto"/>
          <w:szCs w:val="21"/>
          <w:highlight w:val="none"/>
          <w:u w:val="single"/>
        </w:rPr>
        <w:t>合同价的</w:t>
      </w:r>
      <w:r>
        <w:rPr>
          <w:rFonts w:cs="宋体"/>
          <w:b/>
          <w:bCs/>
          <w:color w:val="auto"/>
          <w:szCs w:val="21"/>
          <w:highlight w:val="none"/>
          <w:u w:val="single"/>
        </w:rPr>
        <w:t>1</w:t>
      </w:r>
      <w:r>
        <w:rPr>
          <w:rFonts w:ascii="宋体" w:hAnsi="宋体" w:cs="宋体"/>
          <w:b/>
          <w:bCs/>
          <w:color w:val="auto"/>
          <w:szCs w:val="21"/>
          <w:highlight w:val="none"/>
          <w:u w:val="single"/>
        </w:rPr>
        <w:t>0</w:t>
      </w:r>
      <w:r>
        <w:rPr>
          <w:rFonts w:hint="eastAsia" w:ascii="宋体" w:hAnsi="宋体" w:cs="宋体"/>
          <w:b/>
          <w:bCs/>
          <w:color w:val="auto"/>
          <w:szCs w:val="21"/>
          <w:highlight w:val="none"/>
          <w:u w:val="single"/>
        </w:rPr>
        <w:t>%</w:t>
      </w:r>
      <w:r>
        <w:rPr>
          <w:rFonts w:hint="eastAsia"/>
          <w:color w:val="auto"/>
          <w:szCs w:val="21"/>
          <w:highlight w:val="none"/>
        </w:rPr>
        <w:t>。</w:t>
      </w:r>
    </w:p>
    <w:p>
      <w:pPr>
        <w:spacing w:line="312" w:lineRule="auto"/>
        <w:ind w:firstLine="420"/>
        <w:rPr>
          <w:color w:val="auto"/>
          <w:szCs w:val="21"/>
          <w:highlight w:val="none"/>
        </w:rPr>
      </w:pPr>
      <w:r>
        <w:rPr>
          <w:rFonts w:hint="eastAsia"/>
          <w:color w:val="auto"/>
          <w:szCs w:val="21"/>
          <w:highlight w:val="none"/>
        </w:rPr>
        <w:t>预付款支付期限：</w:t>
      </w:r>
      <w:r>
        <w:rPr>
          <w:rFonts w:hint="eastAsia" w:ascii="宋体" w:hAnsi="宋体" w:cs="宋体"/>
          <w:b/>
          <w:bCs/>
          <w:color w:val="auto"/>
          <w:szCs w:val="21"/>
          <w:highlight w:val="none"/>
          <w:u w:val="single"/>
        </w:rPr>
        <w:t>合同签订1</w:t>
      </w:r>
      <w:r>
        <w:rPr>
          <w:rFonts w:ascii="宋体" w:hAnsi="宋体" w:cs="宋体"/>
          <w:b/>
          <w:bCs/>
          <w:color w:val="auto"/>
          <w:szCs w:val="21"/>
          <w:highlight w:val="none"/>
          <w:u w:val="single"/>
        </w:rPr>
        <w:t>5</w:t>
      </w:r>
      <w:r>
        <w:rPr>
          <w:rFonts w:hint="eastAsia" w:ascii="宋体" w:hAnsi="宋体" w:cs="宋体"/>
          <w:b/>
          <w:bCs/>
          <w:color w:val="auto"/>
          <w:szCs w:val="21"/>
          <w:highlight w:val="none"/>
          <w:u w:val="single"/>
        </w:rPr>
        <w:t>个工作日内</w:t>
      </w:r>
      <w:r>
        <w:rPr>
          <w:rFonts w:hint="eastAsia"/>
          <w:color w:val="auto"/>
          <w:szCs w:val="21"/>
          <w:highlight w:val="none"/>
        </w:rPr>
        <w:t>。</w:t>
      </w:r>
    </w:p>
    <w:p>
      <w:pPr>
        <w:spacing w:line="312" w:lineRule="auto"/>
        <w:ind w:firstLine="420"/>
        <w:rPr>
          <w:rFonts w:ascii="宋体" w:hAnsi="宋体" w:cs="宋体"/>
          <w:b/>
          <w:bCs/>
          <w:color w:val="auto"/>
          <w:szCs w:val="21"/>
          <w:highlight w:val="none"/>
          <w:u w:val="single"/>
        </w:rPr>
      </w:pPr>
      <w:r>
        <w:rPr>
          <w:rFonts w:hint="eastAsia"/>
          <w:color w:val="auto"/>
          <w:szCs w:val="21"/>
          <w:highlight w:val="none"/>
        </w:rPr>
        <w:t>预付款扣回的方式：</w:t>
      </w:r>
      <w:r>
        <w:rPr>
          <w:rFonts w:hint="eastAsia" w:ascii="宋体" w:hAnsi="宋体" w:cs="宋体"/>
          <w:b/>
          <w:bCs/>
          <w:color w:val="auto"/>
          <w:szCs w:val="21"/>
          <w:highlight w:val="none"/>
          <w:u w:val="single"/>
        </w:rPr>
        <w:t>在工程款支付至签约合同价的7</w:t>
      </w:r>
      <w:r>
        <w:rPr>
          <w:rFonts w:ascii="宋体" w:hAnsi="宋体" w:cs="宋体"/>
          <w:b/>
          <w:bCs/>
          <w:color w:val="auto"/>
          <w:szCs w:val="21"/>
          <w:highlight w:val="none"/>
          <w:u w:val="single"/>
        </w:rPr>
        <w:t>0</w:t>
      </w:r>
      <w:r>
        <w:rPr>
          <w:rFonts w:hint="eastAsia" w:ascii="宋体" w:hAnsi="宋体" w:cs="宋体"/>
          <w:b/>
          <w:bCs/>
          <w:color w:val="auto"/>
          <w:szCs w:val="21"/>
          <w:highlight w:val="none"/>
          <w:u w:val="single"/>
        </w:rPr>
        <w:t>%时，在本次付款中扣回</w:t>
      </w:r>
      <w:r>
        <w:rPr>
          <w:rFonts w:hint="eastAsia" w:ascii="宋体" w:hAnsi="宋体" w:cs="宋体"/>
          <w:b/>
          <w:bCs/>
          <w:color w:val="auto"/>
          <w:szCs w:val="21"/>
          <w:highlight w:val="none"/>
        </w:rPr>
        <w:t>。</w:t>
      </w:r>
    </w:p>
    <w:p>
      <w:pPr>
        <w:spacing w:line="312" w:lineRule="auto"/>
        <w:ind w:firstLine="420"/>
        <w:rPr>
          <w:color w:val="auto"/>
          <w:szCs w:val="21"/>
          <w:highlight w:val="none"/>
        </w:rPr>
      </w:pPr>
      <w:r>
        <w:rPr>
          <w:rFonts w:hint="eastAsia"/>
          <w:color w:val="auto"/>
          <w:szCs w:val="21"/>
          <w:highlight w:val="none"/>
        </w:rPr>
        <w:t>1</w:t>
      </w:r>
      <w:r>
        <w:rPr>
          <w:color w:val="auto"/>
          <w:szCs w:val="21"/>
          <w:highlight w:val="none"/>
        </w:rPr>
        <w:t>4.2.2预付款担保</w:t>
      </w:r>
    </w:p>
    <w:p>
      <w:pPr>
        <w:spacing w:line="312" w:lineRule="auto"/>
        <w:ind w:firstLine="420"/>
        <w:rPr>
          <w:color w:val="auto"/>
          <w:szCs w:val="21"/>
          <w:highlight w:val="none"/>
        </w:rPr>
      </w:pPr>
      <w:r>
        <w:rPr>
          <w:rFonts w:hint="eastAsia"/>
          <w:color w:val="auto"/>
          <w:szCs w:val="21"/>
          <w:highlight w:val="none"/>
        </w:rPr>
        <w:t>提供预付款担保期限：</w:t>
      </w:r>
      <w:r>
        <w:rPr>
          <w:color w:val="auto"/>
          <w:szCs w:val="21"/>
          <w:highlight w:val="none"/>
          <w:u w:val="single"/>
        </w:rPr>
        <w:t xml:space="preserve">     /         </w:t>
      </w:r>
      <w:r>
        <w:rPr>
          <w:rFonts w:hint="eastAsia"/>
          <w:color w:val="auto"/>
          <w:szCs w:val="21"/>
          <w:highlight w:val="none"/>
        </w:rPr>
        <w:t>。</w:t>
      </w:r>
    </w:p>
    <w:p>
      <w:pPr>
        <w:spacing w:line="312" w:lineRule="auto"/>
        <w:ind w:firstLine="420"/>
        <w:rPr>
          <w:color w:val="auto"/>
          <w:szCs w:val="21"/>
          <w:highlight w:val="none"/>
        </w:rPr>
      </w:pPr>
      <w:r>
        <w:rPr>
          <w:rFonts w:hint="eastAsia"/>
          <w:color w:val="auto"/>
          <w:szCs w:val="21"/>
          <w:highlight w:val="none"/>
        </w:rPr>
        <w:t>预付款担保形式：</w:t>
      </w:r>
      <w:r>
        <w:rPr>
          <w:rFonts w:hint="eastAsia"/>
          <w:color w:val="auto"/>
          <w:szCs w:val="21"/>
          <w:highlight w:val="none"/>
          <w:u w:val="single"/>
        </w:rPr>
        <w:t xml:space="preserve"> </w:t>
      </w:r>
      <w:r>
        <w:rPr>
          <w:color w:val="auto"/>
          <w:szCs w:val="21"/>
          <w:highlight w:val="none"/>
          <w:u w:val="single"/>
        </w:rPr>
        <w:t xml:space="preserve">        /         </w:t>
      </w:r>
      <w:r>
        <w:rPr>
          <w:rFonts w:hint="eastAsia"/>
          <w:color w:val="auto"/>
          <w:szCs w:val="21"/>
          <w:highlight w:val="none"/>
        </w:rPr>
        <w:t>。</w:t>
      </w:r>
    </w:p>
    <w:p>
      <w:pPr>
        <w:spacing w:line="312" w:lineRule="auto"/>
        <w:ind w:firstLine="420"/>
        <w:rPr>
          <w:color w:val="auto"/>
          <w:szCs w:val="21"/>
          <w:highlight w:val="none"/>
        </w:rPr>
      </w:pPr>
      <w:r>
        <w:rPr>
          <w:color w:val="auto"/>
          <w:szCs w:val="21"/>
          <w:highlight w:val="none"/>
        </w:rPr>
        <w:t xml:space="preserve">14.3 </w:t>
      </w:r>
      <w:r>
        <w:rPr>
          <w:rFonts w:hint="eastAsia"/>
          <w:color w:val="auto"/>
          <w:szCs w:val="21"/>
          <w:highlight w:val="none"/>
        </w:rPr>
        <w:t>工程进度款</w:t>
      </w:r>
    </w:p>
    <w:p>
      <w:pPr>
        <w:spacing w:line="312" w:lineRule="auto"/>
        <w:ind w:firstLine="420"/>
        <w:rPr>
          <w:color w:val="auto"/>
          <w:szCs w:val="21"/>
          <w:highlight w:val="none"/>
        </w:rPr>
      </w:pPr>
      <w:r>
        <w:rPr>
          <w:color w:val="auto"/>
          <w:szCs w:val="21"/>
          <w:highlight w:val="none"/>
        </w:rPr>
        <w:t xml:space="preserve">14.3.1 </w:t>
      </w:r>
      <w:r>
        <w:rPr>
          <w:rFonts w:hint="eastAsia"/>
          <w:color w:val="auto"/>
          <w:szCs w:val="21"/>
          <w:highlight w:val="none"/>
        </w:rPr>
        <w:t>工程进度付款申请</w:t>
      </w:r>
    </w:p>
    <w:p>
      <w:pPr>
        <w:spacing w:line="312" w:lineRule="auto"/>
        <w:ind w:firstLine="420"/>
        <w:rPr>
          <w:color w:val="auto"/>
          <w:szCs w:val="21"/>
          <w:highlight w:val="none"/>
        </w:rPr>
      </w:pPr>
      <w:r>
        <w:rPr>
          <w:rFonts w:hint="eastAsia"/>
          <w:color w:val="auto"/>
          <w:szCs w:val="21"/>
          <w:highlight w:val="none"/>
        </w:rPr>
        <w:t>工程进度付款申请方式：</w:t>
      </w:r>
      <w:r>
        <w:rPr>
          <w:rFonts w:hint="eastAsia"/>
          <w:color w:val="auto"/>
          <w:szCs w:val="21"/>
          <w:highlight w:val="none"/>
          <w:u w:val="single"/>
        </w:rPr>
        <w:t>按通用条款</w:t>
      </w:r>
      <w:r>
        <w:rPr>
          <w:rFonts w:hint="eastAsia"/>
          <w:color w:val="auto"/>
          <w:szCs w:val="21"/>
          <w:highlight w:val="none"/>
        </w:rPr>
        <w:t>。</w:t>
      </w:r>
    </w:p>
    <w:p>
      <w:pPr>
        <w:spacing w:line="312" w:lineRule="auto"/>
        <w:ind w:firstLine="420"/>
        <w:rPr>
          <w:color w:val="auto"/>
          <w:szCs w:val="21"/>
          <w:highlight w:val="none"/>
        </w:rPr>
      </w:pPr>
      <w:r>
        <w:rPr>
          <w:rFonts w:hint="eastAsia"/>
          <w:color w:val="auto"/>
          <w:szCs w:val="21"/>
          <w:highlight w:val="none"/>
        </w:rPr>
        <w:t>承包人提交进度付款申请单的格式、内容、份数和时间：</w:t>
      </w:r>
      <w:r>
        <w:rPr>
          <w:color w:val="auto"/>
          <w:szCs w:val="21"/>
          <w:highlight w:val="none"/>
          <w:u w:val="single"/>
        </w:rPr>
        <w:t>3</w:t>
      </w:r>
      <w:r>
        <w:rPr>
          <w:rFonts w:hint="eastAsia"/>
          <w:color w:val="auto"/>
          <w:szCs w:val="21"/>
          <w:highlight w:val="none"/>
          <w:u w:val="single"/>
        </w:rPr>
        <w:t>份</w:t>
      </w:r>
      <w:r>
        <w:rPr>
          <w:color w:val="auto"/>
          <w:szCs w:val="21"/>
          <w:highlight w:val="none"/>
          <w:u w:val="single"/>
        </w:rPr>
        <w:t>，</w:t>
      </w:r>
      <w:r>
        <w:rPr>
          <w:rFonts w:hint="eastAsia"/>
          <w:color w:val="auto"/>
          <w:szCs w:val="21"/>
          <w:highlight w:val="none"/>
          <w:u w:val="single"/>
        </w:rPr>
        <w:t>每月25日前</w:t>
      </w:r>
      <w:r>
        <w:rPr>
          <w:rFonts w:hint="eastAsia"/>
          <w:color w:val="auto"/>
          <w:szCs w:val="21"/>
          <w:highlight w:val="none"/>
        </w:rPr>
        <w:t>。</w:t>
      </w:r>
    </w:p>
    <w:p>
      <w:pPr>
        <w:spacing w:line="312" w:lineRule="auto"/>
        <w:ind w:firstLine="420"/>
        <w:rPr>
          <w:color w:val="auto"/>
          <w:szCs w:val="21"/>
          <w:highlight w:val="none"/>
        </w:rPr>
      </w:pPr>
      <w:r>
        <w:rPr>
          <w:rFonts w:hint="eastAsia"/>
          <w:color w:val="auto"/>
          <w:szCs w:val="21"/>
          <w:highlight w:val="none"/>
        </w:rPr>
        <w:t>进度付款申请单应包括的内容：</w:t>
      </w:r>
      <w:r>
        <w:rPr>
          <w:rFonts w:hint="eastAsia"/>
          <w:color w:val="auto"/>
          <w:szCs w:val="21"/>
          <w:highlight w:val="none"/>
          <w:u w:val="single"/>
        </w:rPr>
        <w:t>按通用条款</w:t>
      </w:r>
      <w:r>
        <w:rPr>
          <w:rFonts w:hint="eastAsia"/>
          <w:color w:val="auto"/>
          <w:szCs w:val="21"/>
          <w:highlight w:val="none"/>
        </w:rPr>
        <w:t>。</w:t>
      </w:r>
    </w:p>
    <w:p>
      <w:pPr>
        <w:spacing w:line="312" w:lineRule="auto"/>
        <w:ind w:firstLine="420"/>
        <w:rPr>
          <w:color w:val="auto"/>
          <w:szCs w:val="21"/>
          <w:highlight w:val="none"/>
        </w:rPr>
      </w:pPr>
      <w:r>
        <w:rPr>
          <w:color w:val="auto"/>
          <w:szCs w:val="21"/>
          <w:highlight w:val="none"/>
        </w:rPr>
        <w:t xml:space="preserve">14.3.2 </w:t>
      </w:r>
      <w:r>
        <w:rPr>
          <w:rFonts w:hint="eastAsia"/>
          <w:color w:val="auto"/>
          <w:szCs w:val="21"/>
          <w:highlight w:val="none"/>
        </w:rPr>
        <w:t>进度付款审核和支付</w:t>
      </w:r>
    </w:p>
    <w:p>
      <w:pPr>
        <w:spacing w:line="312" w:lineRule="auto"/>
        <w:ind w:firstLine="420"/>
        <w:rPr>
          <w:color w:val="auto"/>
          <w:szCs w:val="21"/>
          <w:highlight w:val="none"/>
        </w:rPr>
      </w:pPr>
      <w:r>
        <w:rPr>
          <w:rFonts w:hint="eastAsia"/>
          <w:color w:val="auto"/>
          <w:szCs w:val="21"/>
          <w:highlight w:val="none"/>
        </w:rPr>
        <w:t>进度付款的审核方式和支付的约定：</w:t>
      </w:r>
      <w:r>
        <w:rPr>
          <w:color w:val="auto"/>
          <w:szCs w:val="21"/>
          <w:highlight w:val="none"/>
          <w:u w:val="single"/>
        </w:rPr>
        <w:t>进度款支付证书或临时进度款支付证书签发</w:t>
      </w:r>
      <w:r>
        <w:rPr>
          <w:rFonts w:hint="eastAsia"/>
          <w:color w:val="auto"/>
          <w:szCs w:val="21"/>
          <w:highlight w:val="none"/>
          <w:u w:val="single"/>
        </w:rPr>
        <w:t>（以发包人最终签字认可为准）</w:t>
      </w:r>
      <w:r>
        <w:rPr>
          <w:color w:val="auto"/>
          <w:szCs w:val="21"/>
          <w:highlight w:val="none"/>
          <w:u w:val="single"/>
        </w:rPr>
        <w:t>后</w:t>
      </w:r>
      <w:r>
        <w:rPr>
          <w:rFonts w:hint="eastAsia"/>
          <w:color w:val="auto"/>
          <w:szCs w:val="21"/>
          <w:highlight w:val="none"/>
          <w:u w:val="single"/>
        </w:rPr>
        <w:t>15</w:t>
      </w:r>
      <w:r>
        <w:rPr>
          <w:color w:val="auto"/>
          <w:szCs w:val="21"/>
          <w:highlight w:val="none"/>
          <w:u w:val="single"/>
        </w:rPr>
        <w:t>天内完成支付</w:t>
      </w:r>
      <w:r>
        <w:rPr>
          <w:rFonts w:hint="eastAsia"/>
          <w:color w:val="auto"/>
          <w:szCs w:val="21"/>
          <w:highlight w:val="none"/>
        </w:rPr>
        <w:t>。</w:t>
      </w:r>
    </w:p>
    <w:p>
      <w:pPr>
        <w:spacing w:line="312" w:lineRule="auto"/>
        <w:ind w:firstLine="420"/>
        <w:rPr>
          <w:color w:val="auto"/>
          <w:szCs w:val="21"/>
          <w:highlight w:val="none"/>
        </w:rPr>
      </w:pPr>
      <w:r>
        <w:rPr>
          <w:rFonts w:hint="eastAsia"/>
          <w:color w:val="auto"/>
          <w:szCs w:val="21"/>
          <w:highlight w:val="none"/>
        </w:rPr>
        <w:t>发包人应在进度款支付证书或临时进度款支付证书签发后的</w:t>
      </w:r>
      <w:r>
        <w:rPr>
          <w:rFonts w:hint="eastAsia"/>
          <w:color w:val="auto"/>
          <w:szCs w:val="21"/>
          <w:highlight w:val="none"/>
          <w:u w:val="single"/>
        </w:rPr>
        <w:t xml:space="preserve"> </w:t>
      </w:r>
      <w:r>
        <w:rPr>
          <w:color w:val="auto"/>
          <w:szCs w:val="21"/>
          <w:highlight w:val="none"/>
          <w:u w:val="single"/>
        </w:rPr>
        <w:t xml:space="preserve">7 </w:t>
      </w:r>
      <w:r>
        <w:rPr>
          <w:rFonts w:hint="eastAsia"/>
          <w:color w:val="auto"/>
          <w:szCs w:val="21"/>
          <w:highlight w:val="none"/>
        </w:rPr>
        <w:t>天内完成支付，发包人逾期支付进度款的，应按照</w:t>
      </w:r>
      <w:r>
        <w:rPr>
          <w:rFonts w:hint="eastAsia"/>
          <w:color w:val="auto"/>
          <w:szCs w:val="21"/>
          <w:highlight w:val="none"/>
          <w:u w:val="single"/>
        </w:rPr>
        <w:t xml:space="preserve"> 通用条款</w:t>
      </w:r>
      <w:r>
        <w:rPr>
          <w:color w:val="auto"/>
          <w:szCs w:val="21"/>
          <w:highlight w:val="none"/>
          <w:u w:val="single"/>
        </w:rPr>
        <w:t xml:space="preserve"> </w:t>
      </w:r>
      <w:r>
        <w:rPr>
          <w:rFonts w:hint="eastAsia"/>
          <w:color w:val="auto"/>
          <w:szCs w:val="21"/>
          <w:highlight w:val="none"/>
        </w:rPr>
        <w:t>支付违约金。</w:t>
      </w:r>
    </w:p>
    <w:p>
      <w:pPr>
        <w:spacing w:line="312" w:lineRule="auto"/>
        <w:ind w:firstLine="422"/>
        <w:rPr>
          <w:rFonts w:ascii="宋体" w:hAnsi="宋体"/>
          <w:b/>
          <w:color w:val="auto"/>
          <w:szCs w:val="21"/>
          <w:highlight w:val="none"/>
          <w:u w:val="single"/>
        </w:rPr>
      </w:pPr>
      <w:r>
        <w:rPr>
          <w:rFonts w:hint="eastAsia" w:ascii="宋体" w:hAnsi="宋体"/>
          <w:b/>
          <w:color w:val="auto"/>
          <w:szCs w:val="21"/>
          <w:highlight w:val="none"/>
          <w:u w:val="single"/>
        </w:rPr>
        <w:t>工程进度款的支付方式、支付条件和支付时间</w:t>
      </w:r>
      <w:r>
        <w:rPr>
          <w:rFonts w:hint="eastAsia" w:ascii="宋体" w:hAnsi="宋体"/>
          <w:b/>
          <w:color w:val="auto"/>
          <w:szCs w:val="21"/>
          <w:highlight w:val="none"/>
        </w:rPr>
        <w:t>：</w:t>
      </w:r>
    </w:p>
    <w:p>
      <w:pPr>
        <w:tabs>
          <w:tab w:val="right" w:leader="dot" w:pos="9555"/>
        </w:tabs>
        <w:spacing w:line="360" w:lineRule="auto"/>
        <w:ind w:firstLine="420" w:firstLineChars="200"/>
        <w:rPr>
          <w:rFonts w:ascii="宋体" w:hAnsi="宋体"/>
          <w:color w:val="auto"/>
          <w:highlight w:val="none"/>
        </w:rPr>
      </w:pPr>
      <w:r>
        <w:rPr>
          <w:rFonts w:ascii="宋体" w:hAnsi="宋体"/>
          <w:color w:val="auto"/>
          <w:highlight w:val="none"/>
        </w:rPr>
        <w:t>1</w:t>
      </w:r>
      <w:r>
        <w:rPr>
          <w:rFonts w:hint="eastAsia" w:ascii="宋体" w:hAnsi="宋体"/>
          <w:color w:val="auto"/>
          <w:highlight w:val="none"/>
        </w:rPr>
        <w:t>、工程款（进度款）支付</w:t>
      </w:r>
    </w:p>
    <w:p>
      <w:pPr>
        <w:tabs>
          <w:tab w:val="right" w:leader="dot" w:pos="9555"/>
        </w:tabs>
        <w:spacing w:line="360" w:lineRule="auto"/>
        <w:ind w:firstLine="420" w:firstLineChars="200"/>
        <w:rPr>
          <w:rFonts w:ascii="宋体" w:hAnsi="宋体"/>
          <w:color w:val="auto"/>
          <w:highlight w:val="none"/>
        </w:rPr>
      </w:pPr>
      <w:r>
        <w:rPr>
          <w:rFonts w:hint="eastAsia" w:ascii="宋体" w:hAnsi="宋体"/>
          <w:color w:val="auto"/>
          <w:highlight w:val="none"/>
        </w:rPr>
        <w:t>（1）在总承包合同生效后1</w:t>
      </w:r>
      <w:r>
        <w:rPr>
          <w:rFonts w:ascii="宋体" w:hAnsi="宋体"/>
          <w:color w:val="auto"/>
          <w:highlight w:val="none"/>
        </w:rPr>
        <w:t>5</w:t>
      </w:r>
      <w:r>
        <w:rPr>
          <w:rFonts w:hint="eastAsia" w:ascii="宋体" w:hAnsi="宋体"/>
          <w:color w:val="auto"/>
          <w:highlight w:val="none"/>
        </w:rPr>
        <w:t>个工作日内，发包方向承包方支付</w:t>
      </w:r>
      <w:r>
        <w:rPr>
          <w:rFonts w:ascii="宋体" w:hAnsi="宋体"/>
          <w:color w:val="auto"/>
          <w:highlight w:val="none"/>
        </w:rPr>
        <w:t>10</w:t>
      </w:r>
      <w:r>
        <w:rPr>
          <w:rFonts w:hint="eastAsia" w:ascii="宋体" w:hAnsi="宋体"/>
          <w:color w:val="auto"/>
          <w:highlight w:val="none"/>
        </w:rPr>
        <w:t>%的合同价作为预付款。</w:t>
      </w:r>
    </w:p>
    <w:p>
      <w:pPr>
        <w:tabs>
          <w:tab w:val="right" w:leader="dot" w:pos="9555"/>
        </w:tabs>
        <w:spacing w:line="360" w:lineRule="auto"/>
        <w:ind w:firstLine="420" w:firstLineChars="200"/>
        <w:rPr>
          <w:rFonts w:ascii="宋体" w:hAnsi="宋体"/>
          <w:color w:val="auto"/>
          <w:highlight w:val="none"/>
        </w:rPr>
      </w:pPr>
      <w:r>
        <w:rPr>
          <w:rFonts w:hint="eastAsia" w:ascii="宋体" w:hAnsi="宋体"/>
          <w:color w:val="auto"/>
          <w:highlight w:val="none"/>
        </w:rPr>
        <w:t>（2）工程经验收合格并在2个月内提交符合甲方要求的工程资料及竣工结算资料后，支付至合同价的70%（含预付款）；</w:t>
      </w:r>
    </w:p>
    <w:p>
      <w:pPr>
        <w:tabs>
          <w:tab w:val="right" w:leader="dot" w:pos="9555"/>
        </w:tabs>
        <w:spacing w:line="360" w:lineRule="auto"/>
        <w:ind w:firstLine="420" w:firstLineChars="200"/>
        <w:rPr>
          <w:rFonts w:ascii="宋体" w:hAnsi="宋体"/>
          <w:color w:val="auto"/>
          <w:highlight w:val="none"/>
        </w:rPr>
      </w:pPr>
      <w:r>
        <w:rPr>
          <w:rFonts w:hint="eastAsia" w:ascii="宋体" w:hAnsi="宋体"/>
          <w:color w:val="auto"/>
          <w:highlight w:val="none"/>
        </w:rPr>
        <w:t>（3）</w:t>
      </w:r>
      <w:r>
        <w:rPr>
          <w:rFonts w:hint="eastAsia" w:ascii="宋体" w:hAnsi="宋体"/>
          <w:color w:val="auto"/>
          <w:szCs w:val="21"/>
          <w:highlight w:val="none"/>
        </w:rPr>
        <w:t>通过电力局验收，并网发电；</w:t>
      </w:r>
      <w:r>
        <w:rPr>
          <w:rFonts w:hint="eastAsia" w:ascii="宋体" w:hAnsi="宋体"/>
          <w:color w:val="auto"/>
          <w:highlight w:val="none"/>
        </w:rPr>
        <w:t>结算审核后，1</w:t>
      </w:r>
      <w:r>
        <w:rPr>
          <w:rFonts w:ascii="宋体" w:hAnsi="宋体"/>
          <w:color w:val="auto"/>
          <w:highlight w:val="none"/>
        </w:rPr>
        <w:t>5</w:t>
      </w:r>
      <w:r>
        <w:rPr>
          <w:rFonts w:hint="eastAsia" w:ascii="宋体" w:hAnsi="宋体"/>
          <w:color w:val="auto"/>
          <w:highlight w:val="none"/>
        </w:rPr>
        <w:t>个工作日内，付至结算审定价的98.5%，剩余结算审定价的</w:t>
      </w:r>
      <w:r>
        <w:rPr>
          <w:rFonts w:ascii="宋体" w:hAnsi="宋体"/>
          <w:color w:val="auto"/>
          <w:highlight w:val="none"/>
        </w:rPr>
        <w:t>1</w:t>
      </w:r>
      <w:r>
        <w:rPr>
          <w:rFonts w:hint="eastAsia" w:ascii="宋体" w:hAnsi="宋体"/>
          <w:color w:val="auto"/>
          <w:highlight w:val="none"/>
        </w:rPr>
        <w:t>.5％作为质量保证金，待质保期届满后一个月内一次性结清，不计息。</w:t>
      </w:r>
    </w:p>
    <w:p>
      <w:pPr>
        <w:pStyle w:val="76"/>
        <w:spacing w:line="360" w:lineRule="auto"/>
        <w:ind w:firstLine="422"/>
        <w:rPr>
          <w:rFonts w:ascii="宋体" w:hAnsi="宋体" w:eastAsia="宋体" w:cs="Times New Roman"/>
          <w:b/>
          <w:color w:val="auto"/>
          <w:highlight w:val="none"/>
        </w:rPr>
      </w:pPr>
      <w:r>
        <w:rPr>
          <w:rFonts w:hint="eastAsia" w:ascii="宋体" w:hAnsi="宋体" w:eastAsia="宋体" w:cs="Times New Roman"/>
          <w:b/>
          <w:color w:val="auto"/>
          <w:highlight w:val="none"/>
        </w:rPr>
        <w:t>注：发包人支付上述款项前，以收到承包人相应</w:t>
      </w:r>
      <w:r>
        <w:rPr>
          <w:rFonts w:ascii="宋体" w:hAnsi="宋体" w:eastAsia="宋体" w:cs="Times New Roman"/>
          <w:b/>
          <w:color w:val="auto"/>
          <w:highlight w:val="none"/>
        </w:rPr>
        <w:t>金额的增值税</w:t>
      </w:r>
      <w:r>
        <w:rPr>
          <w:rFonts w:hint="eastAsia" w:ascii="宋体" w:hAnsi="宋体" w:eastAsia="宋体" w:cs="Times New Roman"/>
          <w:b/>
          <w:color w:val="auto"/>
          <w:highlight w:val="none"/>
        </w:rPr>
        <w:t>专用</w:t>
      </w:r>
      <w:r>
        <w:rPr>
          <w:rFonts w:ascii="宋体" w:hAnsi="宋体" w:eastAsia="宋体" w:cs="Times New Roman"/>
          <w:b/>
          <w:color w:val="auto"/>
          <w:highlight w:val="none"/>
        </w:rPr>
        <w:t>发票</w:t>
      </w:r>
      <w:r>
        <w:rPr>
          <w:rFonts w:hint="eastAsia" w:ascii="宋体" w:hAnsi="宋体" w:eastAsia="宋体" w:cs="Times New Roman"/>
          <w:b/>
          <w:color w:val="auto"/>
          <w:highlight w:val="none"/>
        </w:rPr>
        <w:t>为前提，否则发包人有权拒付。</w:t>
      </w:r>
    </w:p>
    <w:p>
      <w:pPr>
        <w:tabs>
          <w:tab w:val="right" w:leader="dot" w:pos="9555"/>
        </w:tabs>
        <w:spacing w:line="360" w:lineRule="auto"/>
        <w:rPr>
          <w:rFonts w:ascii="宋体" w:hAnsi="宋体"/>
          <w:color w:val="auto"/>
          <w:highlight w:val="none"/>
        </w:rPr>
      </w:pPr>
      <w:r>
        <w:rPr>
          <w:rFonts w:hint="eastAsia" w:ascii="宋体" w:hAnsi="宋体"/>
          <w:b/>
          <w:color w:val="auto"/>
          <w:szCs w:val="21"/>
          <w:highlight w:val="none"/>
        </w:rPr>
        <w:t xml:space="preserve"> </w:t>
      </w:r>
      <w:r>
        <w:rPr>
          <w:rFonts w:ascii="宋体" w:hAnsi="宋体"/>
          <w:b/>
          <w:color w:val="auto"/>
          <w:szCs w:val="21"/>
          <w:highlight w:val="none"/>
        </w:rPr>
        <w:t xml:space="preserve">   </w:t>
      </w:r>
      <w:r>
        <w:rPr>
          <w:rFonts w:ascii="宋体" w:hAnsi="宋体"/>
          <w:bCs/>
          <w:color w:val="auto"/>
          <w:szCs w:val="21"/>
          <w:highlight w:val="none"/>
        </w:rPr>
        <w:t>2</w:t>
      </w:r>
      <w:r>
        <w:rPr>
          <w:rFonts w:hint="eastAsia" w:ascii="宋体" w:hAnsi="宋体"/>
          <w:bCs/>
          <w:color w:val="auto"/>
          <w:szCs w:val="21"/>
          <w:highlight w:val="none"/>
        </w:rPr>
        <w:t>、</w:t>
      </w:r>
      <w:r>
        <w:rPr>
          <w:rFonts w:hint="eastAsia" w:ascii="宋体" w:hAnsi="宋体"/>
          <w:color w:val="auto"/>
          <w:highlight w:val="none"/>
        </w:rPr>
        <w:t>工程款支付方式：</w:t>
      </w:r>
      <w:r>
        <w:rPr>
          <w:rFonts w:hint="eastAsia" w:ascii="宋体" w:hAnsi="宋体"/>
          <w:color w:val="auto"/>
          <w:highlight w:val="none"/>
          <w:u w:val="single"/>
        </w:rPr>
        <w:t>银行汇款</w:t>
      </w:r>
      <w:r>
        <w:rPr>
          <w:rFonts w:hint="eastAsia" w:ascii="宋体" w:hAnsi="宋体"/>
          <w:color w:val="auto"/>
          <w:highlight w:val="none"/>
        </w:rPr>
        <w:t>。</w:t>
      </w:r>
    </w:p>
    <w:p>
      <w:pPr>
        <w:spacing w:line="360" w:lineRule="auto"/>
        <w:ind w:firstLine="422"/>
        <w:rPr>
          <w:rFonts w:ascii="宋体" w:hAnsi="宋体"/>
          <w:b/>
          <w:color w:val="auto"/>
          <w:szCs w:val="21"/>
          <w:highlight w:val="none"/>
          <w:u w:val="single"/>
        </w:rPr>
      </w:pPr>
      <w:r>
        <w:rPr>
          <w:rFonts w:hint="eastAsia" w:ascii="宋体" w:hAnsi="宋体"/>
          <w:b/>
          <w:color w:val="auto"/>
          <w:szCs w:val="21"/>
          <w:highlight w:val="none"/>
          <w:u w:val="single"/>
        </w:rPr>
        <w:t>注：发包人上述各个付款义务以收到承包人对应金额的增值税发票为准</w:t>
      </w:r>
      <w:r>
        <w:rPr>
          <w:rFonts w:hint="eastAsia" w:ascii="宋体" w:hAnsi="宋体"/>
          <w:b/>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14.4 </w:t>
      </w:r>
      <w:r>
        <w:rPr>
          <w:rFonts w:hint="eastAsia" w:ascii="宋体" w:hAnsi="宋体"/>
          <w:color w:val="auto"/>
          <w:szCs w:val="21"/>
          <w:highlight w:val="none"/>
        </w:rPr>
        <w:t>付款计划表</w:t>
      </w:r>
    </w:p>
    <w:p>
      <w:pPr>
        <w:spacing w:line="360" w:lineRule="auto"/>
        <w:ind w:firstLine="420"/>
        <w:rPr>
          <w:rFonts w:ascii="宋体" w:hAnsi="宋体"/>
          <w:color w:val="auto"/>
          <w:szCs w:val="21"/>
          <w:highlight w:val="none"/>
        </w:rPr>
      </w:pPr>
      <w:r>
        <w:rPr>
          <w:rFonts w:ascii="宋体" w:hAnsi="宋体"/>
          <w:color w:val="auto"/>
          <w:szCs w:val="21"/>
          <w:highlight w:val="none"/>
        </w:rPr>
        <w:t>14.4.1 付款计划表的编制要求</w:t>
      </w:r>
      <w:r>
        <w:rPr>
          <w:rFonts w:hint="eastAsia" w:ascii="宋体" w:hAnsi="宋体"/>
          <w:color w:val="auto"/>
          <w:szCs w:val="21"/>
          <w:highlight w:val="none"/>
        </w:rPr>
        <w:t>：</w:t>
      </w:r>
      <w:r>
        <w:rPr>
          <w:rFonts w:hint="eastAsia" w:ascii="宋体" w:hAnsi="宋体"/>
          <w:color w:val="auto"/>
          <w:szCs w:val="21"/>
          <w:highlight w:val="none"/>
          <w:u w:val="single"/>
        </w:rPr>
        <w:t>按通用条款</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14.4.2 </w:t>
      </w:r>
      <w:r>
        <w:rPr>
          <w:rFonts w:hint="eastAsia" w:ascii="宋体" w:hAnsi="宋体"/>
          <w:color w:val="auto"/>
          <w:szCs w:val="21"/>
          <w:highlight w:val="none"/>
        </w:rPr>
        <w:t>付款计划表的编制与审批</w:t>
      </w:r>
    </w:p>
    <w:p>
      <w:pPr>
        <w:spacing w:line="360" w:lineRule="auto"/>
        <w:ind w:firstLine="420"/>
        <w:rPr>
          <w:rFonts w:ascii="宋体" w:hAnsi="宋体"/>
          <w:color w:val="auto"/>
          <w:szCs w:val="21"/>
          <w:highlight w:val="none"/>
        </w:rPr>
      </w:pPr>
      <w:r>
        <w:rPr>
          <w:rFonts w:hint="eastAsia" w:ascii="宋体" w:hAnsi="宋体"/>
          <w:color w:val="auto"/>
          <w:szCs w:val="21"/>
          <w:highlight w:val="none"/>
        </w:rPr>
        <w:t>付款计划表的编制：</w:t>
      </w:r>
      <w:r>
        <w:rPr>
          <w:rFonts w:hint="eastAsia" w:ascii="宋体" w:hAnsi="宋体"/>
          <w:color w:val="auto"/>
          <w:szCs w:val="21"/>
          <w:highlight w:val="none"/>
          <w:u w:val="single"/>
        </w:rPr>
        <w:t>按通用条款</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14.5 </w:t>
      </w:r>
      <w:r>
        <w:rPr>
          <w:rFonts w:hint="eastAsia" w:ascii="宋体" w:hAnsi="宋体"/>
          <w:color w:val="auto"/>
          <w:szCs w:val="21"/>
          <w:highlight w:val="none"/>
        </w:rPr>
        <w:t>竣工结算</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14.5.1 </w:t>
      </w:r>
      <w:r>
        <w:rPr>
          <w:rFonts w:hint="eastAsia" w:ascii="宋体" w:hAnsi="宋体"/>
          <w:color w:val="auto"/>
          <w:szCs w:val="21"/>
          <w:highlight w:val="none"/>
        </w:rPr>
        <w:t>竣工结算申请</w:t>
      </w:r>
    </w:p>
    <w:p>
      <w:pPr>
        <w:spacing w:line="360" w:lineRule="auto"/>
        <w:ind w:firstLine="420"/>
        <w:rPr>
          <w:rFonts w:ascii="宋体" w:hAnsi="宋体"/>
          <w:color w:val="auto"/>
          <w:szCs w:val="21"/>
          <w:highlight w:val="none"/>
        </w:rPr>
      </w:pPr>
      <w:r>
        <w:rPr>
          <w:rFonts w:hint="eastAsia" w:ascii="宋体" w:hAnsi="宋体"/>
          <w:color w:val="auto"/>
          <w:szCs w:val="21"/>
          <w:highlight w:val="none"/>
        </w:rPr>
        <w:t>承包人提交竣工结算申请的时间：</w:t>
      </w:r>
      <w:r>
        <w:rPr>
          <w:rFonts w:hint="eastAsia" w:ascii="宋体" w:hAnsi="宋体"/>
          <w:color w:val="auto"/>
          <w:szCs w:val="21"/>
          <w:highlight w:val="none"/>
          <w:u w:val="single"/>
        </w:rPr>
        <w:t>工程经验收合格并在2个月内提交符合甲方要求的工程资料及竣工结算资料</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竣工结算申请的资料清单和份数：</w:t>
      </w:r>
      <w:r>
        <w:rPr>
          <w:rFonts w:hint="eastAsia" w:ascii="宋体" w:hAnsi="宋体" w:cs="宋体"/>
          <w:color w:val="auto"/>
          <w:szCs w:val="21"/>
          <w:highlight w:val="none"/>
          <w:u w:val="single"/>
        </w:rPr>
        <w:t>承包人应在工程竣工验收合格后2个月内向发包人提交竣工结算申请单，并提交完整的结算资料2份（含招标文件及附件、投标书及附件、施工图纸、竣工图纸、变更联系单、竣工结算书、施工合同及附件等）</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竣工结算申请单的内容应包括：</w:t>
      </w:r>
      <w:r>
        <w:rPr>
          <w:rFonts w:ascii="宋体" w:hAnsi="宋体"/>
          <w:color w:val="auto"/>
          <w:szCs w:val="21"/>
          <w:highlight w:val="none"/>
          <w:u w:val="single"/>
        </w:rPr>
        <w:t>按通用条款</w:t>
      </w:r>
      <w:r>
        <w:rPr>
          <w:rFonts w:hint="eastAsia" w:ascii="宋体" w:hAnsi="宋体"/>
          <w:color w:val="auto"/>
          <w:szCs w:val="21"/>
          <w:highlight w:val="none"/>
        </w:rPr>
        <w:t>。</w:t>
      </w:r>
    </w:p>
    <w:p>
      <w:pPr>
        <w:spacing w:line="360" w:lineRule="auto"/>
        <w:ind w:firstLine="422"/>
        <w:rPr>
          <w:rFonts w:ascii="宋体" w:hAnsi="宋体"/>
          <w:b/>
          <w:color w:val="auto"/>
          <w:szCs w:val="21"/>
          <w:highlight w:val="none"/>
          <w:u w:val="single"/>
        </w:rPr>
      </w:pPr>
      <w:r>
        <w:rPr>
          <w:rFonts w:hint="eastAsia" w:ascii="宋体" w:hAnsi="宋体"/>
          <w:b/>
          <w:color w:val="auto"/>
          <w:szCs w:val="21"/>
          <w:highlight w:val="none"/>
          <w:u w:val="single"/>
        </w:rPr>
        <w:t>竣工结算原则：</w:t>
      </w:r>
    </w:p>
    <w:p>
      <w:pPr>
        <w:spacing w:line="360" w:lineRule="auto"/>
        <w:ind w:firstLine="422"/>
        <w:rPr>
          <w:rFonts w:ascii="宋体" w:hAnsi="宋体"/>
          <w:b/>
          <w:color w:val="auto"/>
          <w:szCs w:val="21"/>
          <w:highlight w:val="none"/>
          <w:u w:val="single"/>
        </w:rPr>
      </w:pPr>
      <w:r>
        <w:rPr>
          <w:rFonts w:hint="eastAsia" w:ascii="宋体" w:hAnsi="宋体"/>
          <w:b/>
          <w:color w:val="auto"/>
          <w:szCs w:val="21"/>
          <w:highlight w:val="none"/>
        </w:rPr>
        <w:t>1、</w:t>
      </w:r>
      <w:r>
        <w:rPr>
          <w:rFonts w:hint="eastAsia" w:ascii="宋体" w:hAnsi="宋体"/>
          <w:b/>
          <w:color w:val="auto"/>
          <w:szCs w:val="21"/>
          <w:highlight w:val="none"/>
          <w:u w:val="single"/>
        </w:rPr>
        <w:t>设计费、总承包管理费</w:t>
      </w:r>
    </w:p>
    <w:p>
      <w:pPr>
        <w:spacing w:line="360" w:lineRule="auto"/>
        <w:ind w:firstLine="422"/>
        <w:rPr>
          <w:rFonts w:ascii="宋体" w:hAnsi="宋体"/>
          <w:b/>
          <w:color w:val="auto"/>
          <w:szCs w:val="21"/>
          <w:highlight w:val="none"/>
          <w:u w:val="single"/>
        </w:rPr>
      </w:pPr>
      <w:r>
        <w:rPr>
          <w:rFonts w:hint="eastAsia" w:ascii="宋体" w:hAnsi="宋体"/>
          <w:b/>
          <w:color w:val="auto"/>
          <w:szCs w:val="21"/>
          <w:highlight w:val="none"/>
        </w:rPr>
        <w:t>（1）</w:t>
      </w:r>
      <w:r>
        <w:rPr>
          <w:rFonts w:hint="eastAsia" w:ascii="宋体" w:hAnsi="宋体"/>
          <w:b/>
          <w:color w:val="auto"/>
          <w:szCs w:val="21"/>
          <w:highlight w:val="none"/>
          <w:u w:val="single"/>
        </w:rPr>
        <w:t>设计费：包含在投标单价内</w:t>
      </w:r>
      <w:r>
        <w:rPr>
          <w:rFonts w:hint="eastAsia" w:ascii="宋体" w:hAnsi="宋体"/>
          <w:b/>
          <w:color w:val="auto"/>
          <w:szCs w:val="21"/>
          <w:highlight w:val="none"/>
        </w:rPr>
        <w:t>。</w:t>
      </w:r>
    </w:p>
    <w:p>
      <w:pPr>
        <w:spacing w:line="360" w:lineRule="auto"/>
        <w:ind w:firstLine="422"/>
        <w:rPr>
          <w:rFonts w:ascii="宋体" w:hAnsi="宋体"/>
          <w:b/>
          <w:color w:val="auto"/>
          <w:szCs w:val="21"/>
          <w:highlight w:val="none"/>
        </w:rPr>
      </w:pPr>
      <w:r>
        <w:rPr>
          <w:rFonts w:hint="eastAsia" w:ascii="宋体" w:hAnsi="宋体"/>
          <w:b/>
          <w:color w:val="auto"/>
          <w:szCs w:val="21"/>
          <w:highlight w:val="none"/>
        </w:rPr>
        <w:t>（2）</w:t>
      </w:r>
      <w:r>
        <w:rPr>
          <w:rFonts w:hint="eastAsia" w:ascii="宋体" w:hAnsi="宋体"/>
          <w:b/>
          <w:color w:val="auto"/>
          <w:szCs w:val="21"/>
          <w:highlight w:val="none"/>
          <w:u w:val="single"/>
        </w:rPr>
        <w:t>总承包管理费：包含在投标单价内</w:t>
      </w:r>
      <w:r>
        <w:rPr>
          <w:rFonts w:hint="eastAsia" w:ascii="宋体" w:hAnsi="宋体"/>
          <w:b/>
          <w:color w:val="auto"/>
          <w:szCs w:val="21"/>
          <w:highlight w:val="none"/>
        </w:rPr>
        <w:t>。</w:t>
      </w:r>
    </w:p>
    <w:p>
      <w:pPr>
        <w:spacing w:line="360" w:lineRule="auto"/>
        <w:ind w:firstLine="422"/>
        <w:jc w:val="left"/>
        <w:rPr>
          <w:rFonts w:ascii="宋体" w:hAnsi="宋体" w:cs="宋体"/>
          <w:b/>
          <w:color w:val="auto"/>
          <w:szCs w:val="21"/>
          <w:highlight w:val="none"/>
        </w:rPr>
      </w:pPr>
      <w:r>
        <w:rPr>
          <w:rFonts w:hint="eastAsia" w:ascii="宋体" w:hAnsi="宋体"/>
          <w:b/>
          <w:color w:val="auto"/>
          <w:szCs w:val="21"/>
          <w:highlight w:val="none"/>
        </w:rPr>
        <w:t>2、</w:t>
      </w:r>
      <w:r>
        <w:rPr>
          <w:rFonts w:hint="eastAsia" w:ascii="宋体" w:hAnsi="宋体"/>
          <w:b/>
          <w:color w:val="auto"/>
          <w:szCs w:val="21"/>
          <w:highlight w:val="none"/>
          <w:u w:val="single"/>
        </w:rPr>
        <w:t>建安工程费：包含在投标单价内</w:t>
      </w:r>
      <w:r>
        <w:rPr>
          <w:rFonts w:hint="eastAsia" w:ascii="宋体" w:hAnsi="宋体" w:cs="宋体"/>
          <w:b/>
          <w:color w:val="auto"/>
          <w:szCs w:val="21"/>
          <w:highlight w:val="none"/>
        </w:rPr>
        <w:t>；</w:t>
      </w:r>
    </w:p>
    <w:p>
      <w:pPr>
        <w:snapToGrid w:val="0"/>
        <w:spacing w:line="360" w:lineRule="auto"/>
        <w:ind w:firstLine="422" w:firstLineChars="200"/>
        <w:jc w:val="left"/>
        <w:rPr>
          <w:rFonts w:ascii="宋体" w:hAnsi="宋体"/>
          <w:b/>
          <w:color w:val="auto"/>
          <w:szCs w:val="21"/>
          <w:highlight w:val="none"/>
        </w:rPr>
      </w:pPr>
      <w:r>
        <w:rPr>
          <w:rFonts w:hint="eastAsia" w:ascii="宋体" w:hAnsi="宋体" w:cs="宋体"/>
          <w:b/>
          <w:color w:val="auto"/>
          <w:szCs w:val="21"/>
          <w:highlight w:val="none"/>
        </w:rPr>
        <w:t>3、结算总价为：</w:t>
      </w:r>
      <w:r>
        <w:rPr>
          <w:rFonts w:hint="eastAsia" w:ascii="宋体" w:hAnsi="宋体" w:cs="宋体"/>
          <w:b/>
          <w:bCs/>
          <w:color w:val="auto"/>
          <w:szCs w:val="21"/>
          <w:highlight w:val="none"/>
          <w:u w:val="single"/>
        </w:rPr>
        <w:t>根据光伏板标定的额定发电容量乘以投标单价</w:t>
      </w:r>
      <w:r>
        <w:rPr>
          <w:rFonts w:hint="eastAsia" w:ascii="宋体" w:hAnsi="宋体" w:cs="宋体"/>
          <w:b/>
          <w:bCs/>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14.5.2 </w:t>
      </w:r>
      <w:r>
        <w:rPr>
          <w:rFonts w:hint="eastAsia" w:ascii="宋体" w:hAnsi="宋体"/>
          <w:color w:val="auto"/>
          <w:szCs w:val="21"/>
          <w:highlight w:val="none"/>
        </w:rPr>
        <w:t>竣工结算审核</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发包人审批竣工付款申请单的期限：</w:t>
      </w:r>
      <w:r>
        <w:rPr>
          <w:rFonts w:hint="eastAsia" w:ascii="宋体" w:hAnsi="宋体" w:cs="宋体"/>
          <w:b/>
          <w:color w:val="auto"/>
          <w:kern w:val="0"/>
          <w:szCs w:val="21"/>
          <w:highlight w:val="none"/>
          <w:u w:val="single"/>
        </w:rPr>
        <w:t>工程结算委托相关单位审定，时间以发包人为准</w:t>
      </w:r>
      <w:r>
        <w:rPr>
          <w:rFonts w:ascii="宋体" w:hAnsi="宋体"/>
          <w:color w:val="auto"/>
          <w:szCs w:val="21"/>
          <w:highlight w:val="none"/>
        </w:rPr>
        <w:t>。</w:t>
      </w:r>
    </w:p>
    <w:p>
      <w:pPr>
        <w:spacing w:line="360" w:lineRule="auto"/>
        <w:ind w:firstLine="420" w:firstLineChars="200"/>
        <w:jc w:val="left"/>
        <w:rPr>
          <w:rFonts w:ascii="宋体" w:hAnsi="宋体"/>
          <w:b/>
          <w:color w:val="auto"/>
          <w:szCs w:val="21"/>
          <w:highlight w:val="none"/>
        </w:rPr>
      </w:pPr>
      <w:r>
        <w:rPr>
          <w:rFonts w:ascii="宋体" w:hAnsi="宋体"/>
          <w:color w:val="auto"/>
          <w:szCs w:val="21"/>
          <w:highlight w:val="none"/>
        </w:rPr>
        <w:t>发包人完成竣工付款的期限：</w:t>
      </w:r>
      <w:r>
        <w:rPr>
          <w:rFonts w:ascii="宋体" w:hAnsi="宋体"/>
          <w:b/>
          <w:color w:val="auto"/>
          <w:szCs w:val="21"/>
          <w:highlight w:val="none"/>
          <w:u w:val="single"/>
        </w:rPr>
        <w:t>发包人应在签发竣工付款证书后的</w:t>
      </w:r>
      <w:r>
        <w:rPr>
          <w:rFonts w:hint="eastAsia" w:ascii="宋体" w:hAnsi="宋体"/>
          <w:b/>
          <w:color w:val="auto"/>
          <w:szCs w:val="21"/>
          <w:highlight w:val="none"/>
          <w:u w:val="single"/>
        </w:rPr>
        <w:t>28</w:t>
      </w:r>
      <w:r>
        <w:rPr>
          <w:rFonts w:ascii="宋体" w:hAnsi="宋体"/>
          <w:b/>
          <w:color w:val="auto"/>
          <w:szCs w:val="21"/>
          <w:highlight w:val="none"/>
          <w:u w:val="single"/>
        </w:rPr>
        <w:t>天内，完成对承包</w:t>
      </w:r>
      <w:r>
        <w:rPr>
          <w:rFonts w:hint="eastAsia" w:ascii="宋体" w:hAnsi="宋体"/>
          <w:b/>
          <w:color w:val="auto"/>
          <w:szCs w:val="21"/>
          <w:highlight w:val="none"/>
          <w:u w:val="single"/>
        </w:rPr>
        <w:t xml:space="preserve"> </w:t>
      </w:r>
      <w:r>
        <w:rPr>
          <w:rFonts w:ascii="宋体" w:hAnsi="宋体"/>
          <w:b/>
          <w:color w:val="auto"/>
          <w:szCs w:val="21"/>
          <w:highlight w:val="none"/>
          <w:u w:val="single"/>
        </w:rPr>
        <w:t>人的竣工付款</w:t>
      </w:r>
      <w:r>
        <w:rPr>
          <w:rFonts w:ascii="宋体" w:hAnsi="宋体"/>
          <w:b/>
          <w:color w:val="auto"/>
          <w:szCs w:val="21"/>
          <w:highlight w:val="none"/>
        </w:rPr>
        <w:t>。</w:t>
      </w:r>
    </w:p>
    <w:p>
      <w:pPr>
        <w:spacing w:line="360" w:lineRule="auto"/>
        <w:ind w:firstLine="420" w:firstLineChars="200"/>
        <w:jc w:val="left"/>
        <w:rPr>
          <w:rFonts w:ascii="宋体" w:hAnsi="宋体"/>
          <w:b/>
          <w:color w:val="auto"/>
          <w:szCs w:val="21"/>
          <w:highlight w:val="none"/>
          <w:u w:val="single"/>
        </w:rPr>
      </w:pPr>
      <w:r>
        <w:rPr>
          <w:rFonts w:ascii="宋体" w:hAnsi="宋体"/>
          <w:color w:val="auto"/>
          <w:szCs w:val="21"/>
          <w:highlight w:val="none"/>
        </w:rPr>
        <w:t>关于竣工付款证书异议部分复核的方式和程序：</w:t>
      </w:r>
      <w:r>
        <w:rPr>
          <w:rFonts w:hint="eastAsia" w:ascii="宋体" w:hAnsi="宋体"/>
          <w:b/>
          <w:color w:val="auto"/>
          <w:szCs w:val="21"/>
          <w:highlight w:val="none"/>
          <w:u w:val="single"/>
        </w:rPr>
        <w:t>请求建设行政主管部门、行业协会或第三方进行调解</w:t>
      </w:r>
      <w:r>
        <w:rPr>
          <w:rFonts w:ascii="宋体" w:hAnsi="宋体"/>
          <w:b/>
          <w:color w:val="auto"/>
          <w:szCs w:val="21"/>
          <w:highlight w:val="none"/>
        </w:rPr>
        <w:t>。</w:t>
      </w:r>
    </w:p>
    <w:p>
      <w:pPr>
        <w:spacing w:line="360" w:lineRule="auto"/>
        <w:ind w:firstLine="422"/>
        <w:rPr>
          <w:rFonts w:ascii="宋体" w:hAnsi="宋体"/>
          <w:color w:val="auto"/>
          <w:szCs w:val="21"/>
          <w:highlight w:val="none"/>
        </w:rPr>
      </w:pPr>
      <w:r>
        <w:rPr>
          <w:rFonts w:hint="eastAsia" w:ascii="宋体" w:hAnsi="宋体"/>
          <w:b/>
          <w:color w:val="auto"/>
          <w:szCs w:val="21"/>
          <w:highlight w:val="none"/>
          <w:u w:val="single"/>
        </w:rPr>
        <w:t>有关审计（价）中发生的相关费用：工程结算审核收费按浙建价协〔2021〕13号文件执行，工程竣工结算审查费由基本收费和追加收费两部分组成，其中基本审核费由建设单位支付，追加审核费由施工单位支付，追加审核费为超过送审造价5%以外的核减、核增额的5%</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14.6 </w:t>
      </w:r>
      <w:r>
        <w:rPr>
          <w:rFonts w:hint="eastAsia" w:ascii="宋体" w:hAnsi="宋体"/>
          <w:color w:val="auto"/>
          <w:szCs w:val="21"/>
          <w:highlight w:val="none"/>
        </w:rPr>
        <w:t>质量保证金</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14.6.1 </w:t>
      </w:r>
      <w:r>
        <w:rPr>
          <w:rFonts w:hint="eastAsia" w:ascii="宋体" w:hAnsi="宋体"/>
          <w:color w:val="auto"/>
          <w:szCs w:val="21"/>
          <w:highlight w:val="none"/>
        </w:rPr>
        <w:t>承包人提供质量保证金的方式</w:t>
      </w:r>
    </w:p>
    <w:p>
      <w:pPr>
        <w:spacing w:line="360" w:lineRule="auto"/>
        <w:ind w:firstLine="420"/>
        <w:rPr>
          <w:rFonts w:ascii="宋体" w:hAnsi="宋体"/>
          <w:color w:val="auto"/>
          <w:szCs w:val="21"/>
          <w:highlight w:val="none"/>
        </w:rPr>
      </w:pPr>
      <w:r>
        <w:rPr>
          <w:rFonts w:ascii="宋体" w:hAnsi="宋体"/>
          <w:color w:val="auto"/>
          <w:szCs w:val="21"/>
          <w:highlight w:val="none"/>
        </w:rPr>
        <w:t>质量</w:t>
      </w:r>
      <w:r>
        <w:rPr>
          <w:rFonts w:hint="eastAsia" w:ascii="宋体" w:hAnsi="宋体"/>
          <w:color w:val="auto"/>
          <w:szCs w:val="21"/>
          <w:highlight w:val="none"/>
        </w:rPr>
        <w:t>保证金</w:t>
      </w:r>
      <w:r>
        <w:rPr>
          <w:rFonts w:ascii="宋体" w:hAnsi="宋体"/>
          <w:color w:val="auto"/>
          <w:szCs w:val="21"/>
          <w:highlight w:val="none"/>
        </w:rPr>
        <w:t>采用以下</w:t>
      </w:r>
      <w:r>
        <w:rPr>
          <w:rFonts w:hint="eastAsia" w:ascii="宋体" w:hAnsi="宋体"/>
          <w:color w:val="auto"/>
          <w:szCs w:val="21"/>
          <w:highlight w:val="none"/>
        </w:rPr>
        <w:t>第</w:t>
      </w:r>
      <w:r>
        <w:rPr>
          <w:rFonts w:ascii="宋体" w:hAnsi="宋体"/>
          <w:color w:val="auto"/>
          <w:szCs w:val="21"/>
          <w:highlight w:val="none"/>
          <w:u w:val="single"/>
        </w:rPr>
        <w:t xml:space="preserve">  </w:t>
      </w:r>
      <w:r>
        <w:rPr>
          <w:rFonts w:hint="eastAsia" w:ascii="宋体" w:hAnsi="宋体"/>
          <w:color w:val="auto"/>
          <w:szCs w:val="21"/>
          <w:highlight w:val="none"/>
          <w:u w:val="single"/>
        </w:rPr>
        <w:t>2</w:t>
      </w:r>
      <w:r>
        <w:rPr>
          <w:rFonts w:ascii="宋体" w:hAnsi="宋体"/>
          <w:color w:val="auto"/>
          <w:szCs w:val="21"/>
          <w:highlight w:val="none"/>
          <w:u w:val="single"/>
        </w:rPr>
        <w:t xml:space="preserve">  </w:t>
      </w:r>
      <w:r>
        <w:rPr>
          <w:rFonts w:hint="eastAsia" w:ascii="宋体" w:hAnsi="宋体"/>
          <w:color w:val="auto"/>
          <w:szCs w:val="21"/>
          <w:highlight w:val="none"/>
        </w:rPr>
        <w:t>种</w:t>
      </w:r>
      <w:r>
        <w:rPr>
          <w:rFonts w:ascii="宋体" w:hAnsi="宋体"/>
          <w:color w:val="auto"/>
          <w:szCs w:val="21"/>
          <w:highlight w:val="none"/>
        </w:rPr>
        <w:t>方式：</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 </w:t>
      </w:r>
      <w:r>
        <w:rPr>
          <w:rFonts w:hint="eastAsia" w:ascii="宋体" w:hAnsi="宋体"/>
          <w:color w:val="auto"/>
          <w:szCs w:val="21"/>
          <w:highlight w:val="none"/>
        </w:rPr>
        <w:t>工程质量保证担保</w:t>
      </w:r>
      <w:r>
        <w:rPr>
          <w:rFonts w:ascii="宋体" w:hAnsi="宋体"/>
          <w:color w:val="auto"/>
          <w:szCs w:val="21"/>
          <w:highlight w:val="none"/>
        </w:rPr>
        <w:t>，保证金额为：</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(2) </w:t>
      </w:r>
      <w:r>
        <w:rPr>
          <w:rFonts w:ascii="宋体" w:hAnsi="宋体"/>
          <w:color w:val="auto"/>
          <w:szCs w:val="21"/>
          <w:highlight w:val="none"/>
          <w:u w:val="single"/>
        </w:rPr>
        <w:t xml:space="preserve">   </w:t>
      </w:r>
      <w:r>
        <w:rPr>
          <w:rFonts w:hint="eastAsia" w:ascii="宋体" w:hAnsi="宋体"/>
          <w:color w:val="auto"/>
          <w:szCs w:val="21"/>
          <w:highlight w:val="none"/>
          <w:u w:val="single"/>
        </w:rPr>
        <w:t>1.5</w:t>
      </w:r>
      <w:r>
        <w:rPr>
          <w:rFonts w:ascii="宋体" w:hAnsi="宋体"/>
          <w:color w:val="auto"/>
          <w:szCs w:val="21"/>
          <w:highlight w:val="none"/>
          <w:u w:val="single"/>
        </w:rPr>
        <w:t xml:space="preserve">   </w:t>
      </w:r>
      <w:r>
        <w:rPr>
          <w:rFonts w:ascii="宋体" w:hAnsi="宋体"/>
          <w:color w:val="auto"/>
          <w:szCs w:val="21"/>
          <w:highlight w:val="none"/>
        </w:rPr>
        <w:t>%的工程款</w:t>
      </w:r>
      <w:r>
        <w:rPr>
          <w:rFonts w:hint="eastAsia" w:ascii="宋体" w:hAnsi="宋体"/>
          <w:color w:val="auto"/>
          <w:szCs w:val="21"/>
          <w:highlight w:val="none"/>
        </w:rPr>
        <w:t>（</w:t>
      </w:r>
      <w:r>
        <w:rPr>
          <w:rFonts w:hint="eastAsia" w:ascii="宋体" w:hAnsi="宋体"/>
          <w:color w:val="auto"/>
          <w:szCs w:val="21"/>
          <w:highlight w:val="none"/>
          <w:u w:val="single"/>
        </w:rPr>
        <w:t>审定价的</w:t>
      </w:r>
      <w:r>
        <w:rPr>
          <w:rFonts w:ascii="宋体" w:hAnsi="宋体"/>
          <w:color w:val="auto"/>
          <w:szCs w:val="21"/>
          <w:highlight w:val="none"/>
          <w:u w:val="single"/>
        </w:rPr>
        <w:t>1</w:t>
      </w:r>
      <w:r>
        <w:rPr>
          <w:rFonts w:hint="eastAsia" w:ascii="宋体" w:hAnsi="宋体"/>
          <w:color w:val="auto"/>
          <w:szCs w:val="21"/>
          <w:highlight w:val="none"/>
          <w:u w:val="single"/>
        </w:rPr>
        <w:t>.5%</w:t>
      </w:r>
      <w:r>
        <w:rPr>
          <w:rFonts w:hint="eastAsia" w:ascii="宋体" w:hAnsi="宋体"/>
          <w:color w:val="auto"/>
          <w:szCs w:val="21"/>
          <w:highlight w:val="none"/>
        </w:rPr>
        <w:t>）</w:t>
      </w:r>
      <w:r>
        <w:rPr>
          <w:rFonts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(3) </w:t>
      </w:r>
      <w:r>
        <w:rPr>
          <w:rFonts w:hint="eastAsia" w:ascii="宋体" w:hAnsi="宋体"/>
          <w:color w:val="auto"/>
          <w:szCs w:val="21"/>
          <w:highlight w:val="none"/>
        </w:rPr>
        <w:t>其他方式：</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14.6.2 </w:t>
      </w:r>
      <w:r>
        <w:rPr>
          <w:rFonts w:hint="eastAsia" w:ascii="宋体" w:hAnsi="宋体"/>
          <w:color w:val="auto"/>
          <w:szCs w:val="21"/>
          <w:highlight w:val="none"/>
        </w:rPr>
        <w:t>质量保证金的预留</w:t>
      </w:r>
    </w:p>
    <w:p>
      <w:pPr>
        <w:spacing w:line="360" w:lineRule="auto"/>
        <w:ind w:firstLine="420"/>
        <w:rPr>
          <w:rFonts w:ascii="宋体" w:hAnsi="宋体"/>
          <w:color w:val="auto"/>
          <w:szCs w:val="21"/>
          <w:highlight w:val="none"/>
        </w:rPr>
      </w:pPr>
      <w:r>
        <w:rPr>
          <w:rFonts w:ascii="宋体" w:hAnsi="宋体"/>
          <w:color w:val="auto"/>
          <w:szCs w:val="21"/>
          <w:highlight w:val="none"/>
        </w:rPr>
        <w:t>质量</w:t>
      </w:r>
      <w:r>
        <w:rPr>
          <w:rFonts w:hint="eastAsia" w:ascii="宋体" w:hAnsi="宋体"/>
          <w:color w:val="auto"/>
          <w:szCs w:val="21"/>
          <w:highlight w:val="none"/>
        </w:rPr>
        <w:t>保证金</w:t>
      </w:r>
      <w:r>
        <w:rPr>
          <w:rFonts w:ascii="宋体" w:hAnsi="宋体"/>
          <w:color w:val="auto"/>
          <w:szCs w:val="21"/>
          <w:highlight w:val="none"/>
        </w:rPr>
        <w:t>的预留采取以下第</w:t>
      </w:r>
      <w:r>
        <w:rPr>
          <w:rFonts w:ascii="宋体" w:hAnsi="宋体"/>
          <w:color w:val="auto"/>
          <w:szCs w:val="21"/>
          <w:highlight w:val="none"/>
          <w:u w:val="single"/>
        </w:rPr>
        <w:t xml:space="preserve">  3  </w:t>
      </w:r>
      <w:r>
        <w:rPr>
          <w:rFonts w:hint="eastAsia" w:ascii="宋体" w:hAnsi="宋体"/>
          <w:color w:val="auto"/>
          <w:szCs w:val="21"/>
          <w:highlight w:val="none"/>
        </w:rPr>
        <w:t>种</w:t>
      </w:r>
      <w:r>
        <w:rPr>
          <w:rFonts w:ascii="宋体" w:hAnsi="宋体"/>
          <w:color w:val="auto"/>
          <w:szCs w:val="21"/>
          <w:highlight w:val="none"/>
        </w:rPr>
        <w:t>方式：</w:t>
      </w:r>
    </w:p>
    <w:p>
      <w:pPr>
        <w:spacing w:line="360" w:lineRule="auto"/>
        <w:ind w:firstLine="420"/>
        <w:rPr>
          <w:rFonts w:ascii="宋体" w:hAnsi="宋体"/>
          <w:color w:val="auto"/>
          <w:szCs w:val="21"/>
          <w:highlight w:val="none"/>
        </w:rPr>
      </w:pPr>
      <w:r>
        <w:rPr>
          <w:rFonts w:ascii="宋体" w:hAnsi="宋体"/>
          <w:color w:val="auto"/>
          <w:szCs w:val="21"/>
          <w:highlight w:val="none"/>
        </w:rPr>
        <w:t>(1) 在支付工程进度款时逐次预留</w:t>
      </w:r>
      <w:r>
        <w:rPr>
          <w:rFonts w:hint="eastAsia" w:ascii="宋体" w:hAnsi="宋体"/>
          <w:color w:val="auto"/>
          <w:szCs w:val="21"/>
          <w:highlight w:val="none"/>
        </w:rPr>
        <w:t>的质量保证金的比例：</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szCs w:val="21"/>
          <w:highlight w:val="none"/>
        </w:rPr>
        <w:t>，在此情形下，质量</w:t>
      </w:r>
      <w:r>
        <w:rPr>
          <w:rFonts w:hint="eastAsia" w:ascii="宋体" w:hAnsi="宋体"/>
          <w:color w:val="auto"/>
          <w:szCs w:val="21"/>
          <w:highlight w:val="none"/>
        </w:rPr>
        <w:t>保证金</w:t>
      </w:r>
      <w:r>
        <w:rPr>
          <w:rFonts w:ascii="宋体" w:hAnsi="宋体"/>
          <w:color w:val="auto"/>
          <w:szCs w:val="21"/>
          <w:highlight w:val="none"/>
        </w:rPr>
        <w:t>的计算基数不包括预付款的支付、扣回以及价格调整的金额；</w:t>
      </w:r>
    </w:p>
    <w:p>
      <w:pPr>
        <w:spacing w:line="360" w:lineRule="auto"/>
        <w:ind w:firstLine="420"/>
        <w:rPr>
          <w:rFonts w:ascii="宋体" w:hAnsi="宋体"/>
          <w:color w:val="auto"/>
          <w:szCs w:val="21"/>
          <w:highlight w:val="none"/>
        </w:rPr>
      </w:pPr>
      <w:r>
        <w:rPr>
          <w:rFonts w:ascii="宋体" w:hAnsi="宋体"/>
          <w:color w:val="auto"/>
          <w:szCs w:val="21"/>
          <w:highlight w:val="none"/>
        </w:rPr>
        <w:t>(2) 工程竣工结算时一次性预留</w:t>
      </w:r>
      <w:r>
        <w:rPr>
          <w:rFonts w:hint="eastAsia" w:ascii="宋体" w:hAnsi="宋体"/>
          <w:color w:val="auto"/>
          <w:szCs w:val="21"/>
          <w:highlight w:val="none"/>
        </w:rPr>
        <w:t>专用合同条件第</w:t>
      </w:r>
      <w:r>
        <w:rPr>
          <w:rFonts w:ascii="宋体" w:hAnsi="宋体"/>
          <w:color w:val="auto"/>
          <w:szCs w:val="21"/>
          <w:highlight w:val="none"/>
        </w:rPr>
        <w:t>14.6.1</w:t>
      </w:r>
      <w:r>
        <w:rPr>
          <w:rFonts w:hint="eastAsia" w:ascii="宋体" w:hAnsi="宋体"/>
          <w:color w:val="auto"/>
          <w:szCs w:val="21"/>
          <w:highlight w:val="none"/>
        </w:rPr>
        <w:t>项第</w:t>
      </w:r>
      <w:r>
        <w:rPr>
          <w:rFonts w:ascii="宋体" w:hAnsi="宋体"/>
          <w:color w:val="auto"/>
          <w:szCs w:val="21"/>
          <w:highlight w:val="none"/>
        </w:rPr>
        <w:t>(2)</w:t>
      </w:r>
      <w:r>
        <w:rPr>
          <w:rFonts w:hint="eastAsia" w:ascii="宋体" w:hAnsi="宋体"/>
          <w:color w:val="auto"/>
          <w:szCs w:val="21"/>
          <w:highlight w:val="none"/>
        </w:rPr>
        <w:t>目约定的工程款预留比例的</w:t>
      </w:r>
      <w:r>
        <w:rPr>
          <w:rFonts w:ascii="宋体" w:hAnsi="宋体"/>
          <w:color w:val="auto"/>
          <w:szCs w:val="21"/>
          <w:highlight w:val="none"/>
        </w:rPr>
        <w:t>质量</w:t>
      </w:r>
      <w:r>
        <w:rPr>
          <w:rFonts w:hint="eastAsia" w:ascii="宋体" w:hAnsi="宋体"/>
          <w:color w:val="auto"/>
          <w:szCs w:val="21"/>
          <w:highlight w:val="none"/>
        </w:rPr>
        <w:t>保证金</w:t>
      </w:r>
      <w:r>
        <w:rPr>
          <w:rFonts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(3) 其他预留方式:</w:t>
      </w:r>
      <w:r>
        <w:rPr>
          <w:rFonts w:hint="eastAsia" w:ascii="宋体" w:hAnsi="宋体"/>
          <w:color w:val="auto"/>
          <w:szCs w:val="21"/>
          <w:highlight w:val="none"/>
        </w:rPr>
        <w:t xml:space="preserve"> </w:t>
      </w:r>
      <w:bookmarkStart w:id="51" w:name="_Hlk56114107"/>
      <w:r>
        <w:rPr>
          <w:rFonts w:hint="eastAsia" w:ascii="宋体" w:hAnsi="宋体"/>
          <w:color w:val="auto"/>
          <w:szCs w:val="21"/>
          <w:highlight w:val="none"/>
          <w:u w:val="single"/>
        </w:rPr>
        <w:t>银行保函、保险机构保证保险保单或融资担保公司保函</w:t>
      </w:r>
      <w:bookmarkEnd w:id="51"/>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关于质量保证金的补充约定：</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14.7 </w:t>
      </w:r>
      <w:r>
        <w:rPr>
          <w:rFonts w:hint="eastAsia" w:ascii="宋体" w:hAnsi="宋体"/>
          <w:color w:val="auto"/>
          <w:szCs w:val="21"/>
          <w:highlight w:val="none"/>
        </w:rPr>
        <w:t>最终结清</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14.7.1 </w:t>
      </w:r>
      <w:r>
        <w:rPr>
          <w:rFonts w:hint="eastAsia" w:ascii="宋体" w:hAnsi="宋体"/>
          <w:color w:val="auto"/>
          <w:szCs w:val="21"/>
          <w:highlight w:val="none"/>
        </w:rPr>
        <w:t>最终结清申请单</w:t>
      </w:r>
    </w:p>
    <w:p>
      <w:pPr>
        <w:spacing w:line="360" w:lineRule="auto"/>
        <w:ind w:firstLine="420"/>
        <w:rPr>
          <w:rFonts w:ascii="宋体" w:hAnsi="宋体"/>
          <w:color w:val="auto"/>
          <w:szCs w:val="21"/>
          <w:highlight w:val="none"/>
        </w:rPr>
      </w:pPr>
      <w:r>
        <w:rPr>
          <w:rFonts w:hint="eastAsia" w:ascii="宋体" w:hAnsi="宋体"/>
          <w:color w:val="auto"/>
          <w:szCs w:val="21"/>
          <w:highlight w:val="none"/>
        </w:rPr>
        <w:t>当事人双方关于最终结清申请的其他约定：</w:t>
      </w:r>
      <w:r>
        <w:rPr>
          <w:rFonts w:ascii="宋体" w:hAnsi="宋体"/>
          <w:color w:val="auto"/>
          <w:szCs w:val="21"/>
          <w:highlight w:val="none"/>
          <w:u w:val="single"/>
        </w:rPr>
        <w:t>按通用条款</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14.7.2 </w:t>
      </w:r>
      <w:r>
        <w:rPr>
          <w:rFonts w:hint="eastAsia" w:ascii="宋体" w:hAnsi="宋体"/>
          <w:color w:val="auto"/>
          <w:szCs w:val="21"/>
          <w:highlight w:val="none"/>
        </w:rPr>
        <w:t>最终结清证书和支付</w:t>
      </w:r>
    </w:p>
    <w:p>
      <w:pPr>
        <w:spacing w:line="360" w:lineRule="auto"/>
        <w:ind w:firstLine="420"/>
        <w:rPr>
          <w:rFonts w:ascii="宋体" w:hAnsi="宋体"/>
          <w:color w:val="auto"/>
          <w:szCs w:val="21"/>
          <w:highlight w:val="none"/>
        </w:rPr>
      </w:pPr>
      <w:r>
        <w:rPr>
          <w:rFonts w:hint="eastAsia" w:ascii="宋体" w:hAnsi="宋体"/>
          <w:color w:val="auto"/>
          <w:szCs w:val="21"/>
          <w:highlight w:val="none"/>
        </w:rPr>
        <w:t>当事人双方关于最终结清支付的其他约定：</w:t>
      </w:r>
      <w:r>
        <w:rPr>
          <w:rFonts w:ascii="宋体" w:hAnsi="宋体"/>
          <w:color w:val="auto"/>
          <w:szCs w:val="21"/>
          <w:highlight w:val="none"/>
          <w:u w:val="single"/>
        </w:rPr>
        <w:t>发包人应在颁发最终结清证书后7天内完成支付</w:t>
      </w:r>
      <w:r>
        <w:rPr>
          <w:rFonts w:hint="eastAsia" w:ascii="宋体" w:hAnsi="宋体"/>
          <w:color w:val="auto"/>
          <w:szCs w:val="21"/>
          <w:highlight w:val="none"/>
        </w:rPr>
        <w:t>。</w:t>
      </w:r>
    </w:p>
    <w:p>
      <w:pPr>
        <w:pStyle w:val="246"/>
        <w:spacing w:after="120"/>
        <w:ind w:firstLine="420"/>
        <w:outlineLvl w:val="9"/>
        <w:rPr>
          <w:b w:val="0"/>
          <w:bCs/>
          <w:color w:val="auto"/>
          <w:sz w:val="21"/>
          <w:szCs w:val="21"/>
          <w:highlight w:val="none"/>
        </w:rPr>
      </w:pPr>
      <w:bookmarkStart w:id="52" w:name="_Toc54862346"/>
      <w:r>
        <w:rPr>
          <w:rFonts w:hint="eastAsia"/>
          <w:b w:val="0"/>
          <w:bCs/>
          <w:color w:val="auto"/>
          <w:sz w:val="21"/>
          <w:szCs w:val="21"/>
          <w:highlight w:val="none"/>
        </w:rPr>
        <w:t>第</w:t>
      </w:r>
      <w:r>
        <w:rPr>
          <w:b w:val="0"/>
          <w:bCs/>
          <w:color w:val="auto"/>
          <w:sz w:val="21"/>
          <w:szCs w:val="21"/>
          <w:highlight w:val="none"/>
        </w:rPr>
        <w:t>15条</w:t>
      </w:r>
      <w:r>
        <w:rPr>
          <w:rFonts w:hint="eastAsia"/>
          <w:b w:val="0"/>
          <w:bCs/>
          <w:color w:val="auto"/>
          <w:sz w:val="21"/>
          <w:szCs w:val="21"/>
          <w:highlight w:val="none"/>
        </w:rPr>
        <w:t xml:space="preserve"> 违约</w:t>
      </w:r>
      <w:bookmarkEnd w:id="52"/>
    </w:p>
    <w:p>
      <w:pPr>
        <w:spacing w:line="360" w:lineRule="auto"/>
        <w:ind w:firstLine="420"/>
        <w:rPr>
          <w:rFonts w:ascii="宋体" w:hAnsi="宋体"/>
          <w:color w:val="auto"/>
          <w:szCs w:val="21"/>
          <w:highlight w:val="none"/>
        </w:rPr>
      </w:pPr>
      <w:r>
        <w:rPr>
          <w:rFonts w:ascii="宋体" w:hAnsi="宋体"/>
          <w:color w:val="auto"/>
          <w:szCs w:val="21"/>
          <w:highlight w:val="none"/>
        </w:rPr>
        <w:t xml:space="preserve">15.1 </w:t>
      </w:r>
      <w:r>
        <w:rPr>
          <w:rFonts w:hint="eastAsia" w:ascii="宋体" w:hAnsi="宋体"/>
          <w:color w:val="auto"/>
          <w:szCs w:val="21"/>
          <w:highlight w:val="none"/>
        </w:rPr>
        <w:t>发包人违约</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15.1.1 </w:t>
      </w:r>
      <w:r>
        <w:rPr>
          <w:rFonts w:hint="eastAsia" w:ascii="宋体" w:hAnsi="宋体"/>
          <w:color w:val="auto"/>
          <w:szCs w:val="21"/>
          <w:highlight w:val="none"/>
        </w:rPr>
        <w:t>发包人违约的情形</w:t>
      </w:r>
    </w:p>
    <w:p>
      <w:pPr>
        <w:spacing w:line="360" w:lineRule="auto"/>
        <w:ind w:firstLine="420"/>
        <w:rPr>
          <w:rFonts w:ascii="宋体" w:hAnsi="宋体"/>
          <w:color w:val="auto"/>
          <w:szCs w:val="21"/>
          <w:highlight w:val="none"/>
        </w:rPr>
      </w:pPr>
      <w:r>
        <w:rPr>
          <w:rFonts w:hint="eastAsia" w:ascii="宋体" w:hAnsi="宋体"/>
          <w:color w:val="auto"/>
          <w:szCs w:val="21"/>
          <w:highlight w:val="none"/>
        </w:rPr>
        <w:t>发包人违约的其他情形</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15.1.3 </w:t>
      </w:r>
      <w:r>
        <w:rPr>
          <w:rFonts w:hint="eastAsia" w:ascii="宋体" w:hAnsi="宋体"/>
          <w:color w:val="auto"/>
          <w:szCs w:val="21"/>
          <w:highlight w:val="none"/>
        </w:rPr>
        <w:t>发包人违约的责任</w:t>
      </w:r>
    </w:p>
    <w:p>
      <w:pPr>
        <w:spacing w:line="360" w:lineRule="auto"/>
        <w:ind w:firstLine="420"/>
        <w:rPr>
          <w:rFonts w:ascii="宋体" w:hAnsi="宋体"/>
          <w:color w:val="auto"/>
          <w:szCs w:val="21"/>
          <w:highlight w:val="none"/>
        </w:rPr>
      </w:pPr>
      <w:r>
        <w:rPr>
          <w:rFonts w:hint="eastAsia" w:ascii="宋体" w:hAnsi="宋体"/>
          <w:color w:val="auto"/>
          <w:szCs w:val="21"/>
          <w:highlight w:val="none"/>
        </w:rPr>
        <w:t>发包人违约</w:t>
      </w:r>
      <w:r>
        <w:rPr>
          <w:rFonts w:ascii="宋体" w:hAnsi="宋体"/>
          <w:color w:val="auto"/>
          <w:szCs w:val="21"/>
          <w:highlight w:val="none"/>
        </w:rPr>
        <w:t>责任</w:t>
      </w:r>
      <w:r>
        <w:rPr>
          <w:rFonts w:hint="eastAsia" w:ascii="宋体" w:hAnsi="宋体"/>
          <w:color w:val="auto"/>
          <w:szCs w:val="21"/>
          <w:highlight w:val="none"/>
        </w:rPr>
        <w:t>的</w:t>
      </w:r>
      <w:r>
        <w:rPr>
          <w:rFonts w:ascii="宋体" w:hAnsi="宋体"/>
          <w:color w:val="auto"/>
          <w:szCs w:val="21"/>
          <w:highlight w:val="none"/>
        </w:rPr>
        <w:t>承担方式</w:t>
      </w:r>
      <w:r>
        <w:rPr>
          <w:rFonts w:hint="eastAsia" w:ascii="宋体" w:hAnsi="宋体"/>
          <w:color w:val="auto"/>
          <w:szCs w:val="21"/>
          <w:highlight w:val="none"/>
        </w:rPr>
        <w:t>和</w:t>
      </w:r>
      <w:r>
        <w:rPr>
          <w:rFonts w:ascii="宋体" w:hAnsi="宋体"/>
          <w:color w:val="auto"/>
          <w:szCs w:val="21"/>
          <w:highlight w:val="none"/>
        </w:rPr>
        <w:t>计算方法</w:t>
      </w:r>
      <w:r>
        <w:rPr>
          <w:rFonts w:hint="eastAsia" w:ascii="宋体" w:hAnsi="宋体"/>
          <w:color w:val="auto"/>
          <w:szCs w:val="21"/>
          <w:highlight w:val="none"/>
        </w:rPr>
        <w:t>：</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15.2 </w:t>
      </w:r>
      <w:r>
        <w:rPr>
          <w:rFonts w:hint="eastAsia" w:ascii="宋体" w:hAnsi="宋体"/>
          <w:color w:val="auto"/>
          <w:szCs w:val="21"/>
          <w:highlight w:val="none"/>
        </w:rPr>
        <w:t>承包人违约</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15.2.1 </w:t>
      </w:r>
      <w:r>
        <w:rPr>
          <w:rFonts w:hint="eastAsia" w:ascii="宋体" w:hAnsi="宋体"/>
          <w:color w:val="auto"/>
          <w:szCs w:val="21"/>
          <w:highlight w:val="none"/>
        </w:rPr>
        <w:t>承包人违约的情形</w:t>
      </w:r>
    </w:p>
    <w:p>
      <w:pPr>
        <w:spacing w:line="360" w:lineRule="auto"/>
        <w:ind w:firstLine="420"/>
        <w:rPr>
          <w:rFonts w:ascii="宋体" w:hAnsi="宋体"/>
          <w:color w:val="auto"/>
          <w:szCs w:val="21"/>
          <w:highlight w:val="none"/>
        </w:rPr>
      </w:pPr>
      <w:r>
        <w:rPr>
          <w:rFonts w:hint="eastAsia" w:ascii="宋体" w:hAnsi="宋体"/>
          <w:color w:val="auto"/>
          <w:szCs w:val="21"/>
          <w:highlight w:val="none"/>
        </w:rPr>
        <w:t>承包人违约的其他情形：</w:t>
      </w:r>
      <w:r>
        <w:rPr>
          <w:rFonts w:hint="eastAsia" w:ascii="宋体" w:hAnsi="宋体"/>
          <w:color w:val="auto"/>
          <w:szCs w:val="21"/>
          <w:highlight w:val="none"/>
          <w:u w:val="single"/>
        </w:rPr>
        <w:t>按通用</w:t>
      </w:r>
      <w:r>
        <w:rPr>
          <w:rFonts w:ascii="宋体" w:hAnsi="宋体"/>
          <w:color w:val="auto"/>
          <w:szCs w:val="21"/>
          <w:highlight w:val="none"/>
          <w:u w:val="single"/>
        </w:rPr>
        <w:t>条款</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15.2.2 </w:t>
      </w:r>
      <w:r>
        <w:rPr>
          <w:rFonts w:hint="eastAsia" w:ascii="宋体" w:hAnsi="宋体"/>
          <w:color w:val="auto"/>
          <w:szCs w:val="21"/>
          <w:highlight w:val="none"/>
        </w:rPr>
        <w:t>通知改正</w:t>
      </w:r>
    </w:p>
    <w:p>
      <w:pPr>
        <w:spacing w:line="360" w:lineRule="auto"/>
        <w:ind w:firstLine="420"/>
        <w:rPr>
          <w:rFonts w:ascii="宋体" w:hAnsi="宋体"/>
          <w:color w:val="auto"/>
          <w:szCs w:val="21"/>
          <w:highlight w:val="none"/>
        </w:rPr>
      </w:pPr>
      <w:r>
        <w:rPr>
          <w:rFonts w:hint="eastAsia" w:ascii="宋体" w:hAnsi="宋体"/>
          <w:color w:val="auto"/>
          <w:szCs w:val="21"/>
          <w:highlight w:val="none"/>
        </w:rPr>
        <w:t>工程师通知承包人改正的合理期限是：</w:t>
      </w:r>
      <w:r>
        <w:rPr>
          <w:rFonts w:hint="eastAsia" w:ascii="宋体" w:hAnsi="宋体"/>
          <w:color w:val="auto"/>
          <w:szCs w:val="21"/>
          <w:highlight w:val="none"/>
          <w:u w:val="single"/>
        </w:rPr>
        <w:t>在</w:t>
      </w:r>
      <w:r>
        <w:rPr>
          <w:rFonts w:ascii="宋体" w:hAnsi="宋体"/>
          <w:color w:val="auto"/>
          <w:szCs w:val="21"/>
          <w:highlight w:val="none"/>
          <w:u w:val="single"/>
        </w:rPr>
        <w:t>通知书中明</w:t>
      </w:r>
      <w:r>
        <w:rPr>
          <w:rFonts w:hint="eastAsia" w:ascii="宋体" w:hAnsi="宋体"/>
          <w:color w:val="auto"/>
          <w:szCs w:val="21"/>
          <w:highlight w:val="none"/>
          <w:u w:val="single"/>
        </w:rPr>
        <w:t>确</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 xml:space="preserve">15.2.3 </w:t>
      </w:r>
      <w:r>
        <w:rPr>
          <w:rFonts w:hint="eastAsia" w:ascii="宋体" w:hAnsi="宋体"/>
          <w:color w:val="auto"/>
          <w:szCs w:val="21"/>
          <w:highlight w:val="none"/>
          <w:u w:val="single"/>
        </w:rPr>
        <w:t>承包人违约的责任</w:t>
      </w:r>
    </w:p>
    <w:p>
      <w:pPr>
        <w:tabs>
          <w:tab w:val="left" w:pos="993"/>
        </w:tabs>
        <w:spacing w:line="360" w:lineRule="auto"/>
        <w:ind w:firstLine="420" w:firstLineChars="200"/>
        <w:rPr>
          <w:rFonts w:ascii="宋体" w:hAnsi="宋体"/>
          <w:b/>
          <w:color w:val="auto"/>
          <w:szCs w:val="21"/>
          <w:highlight w:val="none"/>
          <w:u w:val="single"/>
        </w:rPr>
      </w:pPr>
      <w:bookmarkStart w:id="53" w:name="_Toc54862347"/>
      <w:r>
        <w:rPr>
          <w:rFonts w:ascii="宋体" w:hAnsi="宋体"/>
          <w:color w:val="auto"/>
          <w:szCs w:val="21"/>
          <w:highlight w:val="none"/>
        </w:rPr>
        <w:t>15.2.3.1</w:t>
      </w:r>
      <w:r>
        <w:rPr>
          <w:rFonts w:hint="eastAsia" w:ascii="宋体" w:hAnsi="宋体"/>
          <w:color w:val="auto"/>
          <w:szCs w:val="21"/>
          <w:highlight w:val="none"/>
          <w:u w:val="single"/>
        </w:rPr>
        <w:t>因承包人原因达不到合同中规定的工程质量要求，发包人可要求承包人进行返工，如返工后仍达不到约定条件的，拆除重建，并视为承包人违约，承包人应向发包人支付违约金，以监理工程师签署的质量不合格文件为准，每次支付不少于</w:t>
      </w:r>
      <w:r>
        <w:rPr>
          <w:rFonts w:ascii="宋体" w:hAnsi="宋体"/>
          <w:color w:val="auto"/>
          <w:szCs w:val="21"/>
          <w:highlight w:val="none"/>
          <w:u w:val="single"/>
        </w:rPr>
        <w:t>1万元质量违约金。如累计计算的质量违约金超过履约保证金，除扣除全部履约保证金外，还应赔偿超过部分金额。同时发包人有权终止合同并要求承包人另行向发包人立即承担本合同价10%的违约金</w:t>
      </w:r>
      <w:r>
        <w:rPr>
          <w:rFonts w:ascii="宋体" w:hAnsi="宋体"/>
          <w:color w:val="auto"/>
          <w:szCs w:val="21"/>
          <w:highlight w:val="none"/>
        </w:rPr>
        <w:t>。</w:t>
      </w:r>
    </w:p>
    <w:p>
      <w:pPr>
        <w:tabs>
          <w:tab w:val="left" w:pos="993"/>
        </w:tabs>
        <w:spacing w:line="360" w:lineRule="auto"/>
        <w:ind w:firstLine="420" w:firstLineChars="200"/>
        <w:rPr>
          <w:rFonts w:ascii="宋体" w:hAnsi="宋体"/>
          <w:b/>
          <w:color w:val="auto"/>
          <w:szCs w:val="21"/>
          <w:highlight w:val="none"/>
          <w:u w:val="single"/>
        </w:rPr>
      </w:pPr>
      <w:r>
        <w:rPr>
          <w:rFonts w:ascii="宋体" w:hAnsi="宋体"/>
          <w:color w:val="auto"/>
          <w:szCs w:val="21"/>
          <w:highlight w:val="none"/>
        </w:rPr>
        <w:t>15.2.3.2</w:t>
      </w:r>
      <w:r>
        <w:rPr>
          <w:rFonts w:hint="eastAsia" w:ascii="宋体" w:hAnsi="宋体"/>
          <w:color w:val="auto"/>
          <w:szCs w:val="21"/>
          <w:highlight w:val="none"/>
          <w:u w:val="single"/>
        </w:rPr>
        <w:t>承包人在实施和完成本合同工程及其工程保修的全过程中，应该遵守国家和省颁发的法律、法令、条例及当地的有关规定，遵守有关部门规章、细则等。承包人应承担由于违反任何上述规定的各种罚款和责任。如果由于承包人违反以上任何规定使得发包人受到损失，承包人应当给予赔偿</w:t>
      </w:r>
      <w:r>
        <w:rPr>
          <w:rFonts w:hint="eastAsia" w:ascii="宋体" w:hAnsi="宋体"/>
          <w:color w:val="auto"/>
          <w:szCs w:val="21"/>
          <w:highlight w:val="none"/>
        </w:rPr>
        <w:t>。</w:t>
      </w:r>
    </w:p>
    <w:p>
      <w:pPr>
        <w:tabs>
          <w:tab w:val="left" w:pos="993"/>
        </w:tabs>
        <w:spacing w:line="360" w:lineRule="auto"/>
        <w:ind w:firstLine="420" w:firstLineChars="200"/>
        <w:rPr>
          <w:rFonts w:ascii="宋体" w:hAnsi="宋体"/>
          <w:b/>
          <w:color w:val="auto"/>
          <w:szCs w:val="21"/>
          <w:highlight w:val="none"/>
          <w:u w:val="single"/>
        </w:rPr>
      </w:pPr>
      <w:r>
        <w:rPr>
          <w:rFonts w:ascii="宋体" w:hAnsi="宋体"/>
          <w:color w:val="auto"/>
          <w:szCs w:val="21"/>
          <w:highlight w:val="none"/>
        </w:rPr>
        <w:t>15.2.3.3</w:t>
      </w:r>
      <w:r>
        <w:rPr>
          <w:rFonts w:hint="eastAsia" w:ascii="宋体" w:hAnsi="宋体"/>
          <w:color w:val="auto"/>
          <w:szCs w:val="21"/>
          <w:highlight w:val="none"/>
          <w:u w:val="single"/>
        </w:rPr>
        <w:t>承包人应采取选定运输路线，选用运输车辆，限制和分配载运重量等一切合理措施，防止承包人或其分包商的任何运输车辆因超过载重限制而损坏或损伤所通过的道路或桥梁。大型施工装备和超重件的运输，应事先取得公路管理部门的许可方能启运。发包人不负责承担上述费用以及由于承包人未执行本款规定造成道路或桥梁损坏或损伤而引起的一切索赔、赔偿、诉讼及其他开支</w:t>
      </w:r>
      <w:r>
        <w:rPr>
          <w:rFonts w:hint="eastAsia" w:ascii="宋体" w:hAnsi="宋体"/>
          <w:color w:val="auto"/>
          <w:szCs w:val="21"/>
          <w:highlight w:val="none"/>
        </w:rPr>
        <w:t>。</w:t>
      </w:r>
    </w:p>
    <w:p>
      <w:pPr>
        <w:tabs>
          <w:tab w:val="left" w:pos="993"/>
        </w:tabs>
        <w:spacing w:line="360" w:lineRule="auto"/>
        <w:ind w:firstLine="420" w:firstLineChars="200"/>
        <w:rPr>
          <w:rFonts w:ascii="宋体" w:hAnsi="宋体"/>
          <w:b/>
          <w:color w:val="auto"/>
          <w:szCs w:val="21"/>
          <w:highlight w:val="none"/>
          <w:u w:val="single"/>
        </w:rPr>
      </w:pPr>
      <w:r>
        <w:rPr>
          <w:rFonts w:ascii="宋体" w:hAnsi="宋体"/>
          <w:color w:val="auto"/>
          <w:szCs w:val="21"/>
          <w:highlight w:val="none"/>
        </w:rPr>
        <w:t>15.2.3.4</w:t>
      </w:r>
      <w:r>
        <w:rPr>
          <w:rFonts w:hint="eastAsia" w:ascii="宋体" w:hAnsi="宋体"/>
          <w:color w:val="auto"/>
          <w:szCs w:val="21"/>
          <w:highlight w:val="none"/>
          <w:u w:val="single"/>
        </w:rPr>
        <w:t>承包人必须根据国家和地方有关安全生产、文明施工的规定落实好各项安全措施，如现场施工违反规定，监理工程师有权发出整改通知书，如承包人拒不执行，监理工程师有权要求停工，并报建设行政主管部门及发包人</w:t>
      </w:r>
      <w:r>
        <w:rPr>
          <w:rFonts w:hint="eastAsia" w:ascii="宋体" w:hAnsi="宋体"/>
          <w:color w:val="auto"/>
          <w:szCs w:val="21"/>
          <w:highlight w:val="none"/>
        </w:rPr>
        <w:t>。</w:t>
      </w:r>
    </w:p>
    <w:p>
      <w:pPr>
        <w:tabs>
          <w:tab w:val="left" w:pos="993"/>
        </w:tabs>
        <w:spacing w:line="360" w:lineRule="auto"/>
        <w:ind w:firstLine="420" w:firstLineChars="200"/>
        <w:rPr>
          <w:rFonts w:ascii="宋体" w:hAnsi="宋体"/>
          <w:b/>
          <w:color w:val="auto"/>
          <w:szCs w:val="21"/>
          <w:highlight w:val="none"/>
          <w:u w:val="single"/>
        </w:rPr>
      </w:pPr>
      <w:r>
        <w:rPr>
          <w:rFonts w:ascii="宋体" w:hAnsi="宋体"/>
          <w:color w:val="auto"/>
          <w:szCs w:val="21"/>
          <w:highlight w:val="none"/>
        </w:rPr>
        <w:t>15.2.3.5</w:t>
      </w:r>
      <w:r>
        <w:rPr>
          <w:rFonts w:hint="eastAsia" w:ascii="宋体" w:hAnsi="宋体"/>
          <w:color w:val="auto"/>
          <w:szCs w:val="21"/>
          <w:highlight w:val="none"/>
          <w:u w:val="single"/>
        </w:rPr>
        <w:t>承包人投入本工程的施工队伍的素质、能力、力量和机械等必须符合投标书的承诺和满足工程的实际需要。如由于承包人原因造成现场管理混乱，施工质量、安全和进度明显达不到合同要求且无视发包人或监理工程师事先的书面整改通知书，拒不服从监理工程师监管，发包人有权要求其加强管理，调整充实力量，承包人必须接受。当上述措施仍无效时，发包人可单方面终止合同，并追究承包人的经济责任。同时，取消该单位下次投标资格</w:t>
      </w:r>
      <w:r>
        <w:rPr>
          <w:rFonts w:hint="eastAsia" w:ascii="宋体" w:hAnsi="宋体"/>
          <w:color w:val="auto"/>
          <w:szCs w:val="21"/>
          <w:highlight w:val="none"/>
        </w:rPr>
        <w:t>。</w:t>
      </w:r>
    </w:p>
    <w:p>
      <w:pPr>
        <w:tabs>
          <w:tab w:val="left" w:pos="993"/>
        </w:tabs>
        <w:spacing w:line="360" w:lineRule="auto"/>
        <w:ind w:firstLine="420" w:firstLineChars="200"/>
        <w:rPr>
          <w:rFonts w:ascii="宋体" w:hAnsi="宋体"/>
          <w:b/>
          <w:color w:val="auto"/>
          <w:szCs w:val="21"/>
          <w:highlight w:val="none"/>
          <w:u w:val="single"/>
        </w:rPr>
      </w:pPr>
      <w:r>
        <w:rPr>
          <w:rFonts w:ascii="宋体" w:hAnsi="宋体"/>
          <w:color w:val="auto"/>
          <w:szCs w:val="21"/>
          <w:highlight w:val="none"/>
        </w:rPr>
        <w:t>15.2.3.6</w:t>
      </w:r>
      <w:r>
        <w:rPr>
          <w:rFonts w:hint="eastAsia" w:ascii="宋体" w:hAnsi="宋体"/>
          <w:color w:val="auto"/>
          <w:szCs w:val="21"/>
          <w:highlight w:val="none"/>
          <w:u w:val="single"/>
        </w:rPr>
        <w:t>承包人应对施工人员加强教育和管理，配合当地有关部门做好社会治安工作。本工程发包人当期支付给承包人的工程款中应该视为已经包含了当期已完工程的全部人工工资。承包人应按国家和本省有关劳动工资支付的规定及时支付其所属员工（包括雇佣的民工）的工资及其他酬金，不得以工程款拖欠、结算纠纷、垫资施工等理由随意克扣或者无故拖欠，否则因拖欠工资（或其他酬金）而影响发包人单位或工程的正常秩序或扰乱当地社会稳定的，发包人有权停止支付工程款，每次事件（经主管部门认定的事件）发生，承包人应向发包人支付签约合同价的</w:t>
      </w:r>
      <w:r>
        <w:rPr>
          <w:rFonts w:ascii="宋体" w:hAnsi="宋体"/>
          <w:color w:val="auto"/>
          <w:szCs w:val="21"/>
          <w:highlight w:val="none"/>
          <w:u w:val="single"/>
        </w:rPr>
        <w:t>0.5%，同时可要求承包人赔偿由此给发包人造成的损失。如遇由于承包人没有及时发放民工工资，引起纠纷的，将视同承包人已经委托发包人可以在应支付给承包人的工程款中扣留部分款项作为民工工资的支付预备金，必要时也将视为承包人已经委托发包人直接支付该部分纠纷的民工工资</w:t>
      </w:r>
      <w:r>
        <w:rPr>
          <w:rFonts w:ascii="宋体" w:hAnsi="宋体"/>
          <w:color w:val="auto"/>
          <w:szCs w:val="21"/>
          <w:highlight w:val="none"/>
        </w:rPr>
        <w:t>。</w:t>
      </w:r>
    </w:p>
    <w:p>
      <w:pPr>
        <w:pStyle w:val="246"/>
        <w:spacing w:after="120"/>
        <w:ind w:firstLine="420"/>
        <w:outlineLvl w:val="9"/>
        <w:rPr>
          <w:b w:val="0"/>
          <w:bCs/>
          <w:color w:val="auto"/>
          <w:sz w:val="21"/>
          <w:szCs w:val="21"/>
          <w:highlight w:val="none"/>
        </w:rPr>
      </w:pPr>
      <w:r>
        <w:rPr>
          <w:rFonts w:hint="eastAsia"/>
          <w:b w:val="0"/>
          <w:bCs/>
          <w:color w:val="auto"/>
          <w:sz w:val="21"/>
          <w:szCs w:val="21"/>
          <w:highlight w:val="none"/>
        </w:rPr>
        <w:t>第</w:t>
      </w:r>
      <w:r>
        <w:rPr>
          <w:b w:val="0"/>
          <w:bCs/>
          <w:color w:val="auto"/>
          <w:sz w:val="21"/>
          <w:szCs w:val="21"/>
          <w:highlight w:val="none"/>
        </w:rPr>
        <w:t>16条</w:t>
      </w:r>
      <w:r>
        <w:rPr>
          <w:rFonts w:hint="eastAsia"/>
          <w:b w:val="0"/>
          <w:bCs/>
          <w:color w:val="auto"/>
          <w:sz w:val="21"/>
          <w:szCs w:val="21"/>
          <w:highlight w:val="none"/>
        </w:rPr>
        <w:t xml:space="preserve"> 合同解除</w:t>
      </w:r>
      <w:bookmarkEnd w:id="53"/>
    </w:p>
    <w:p>
      <w:pPr>
        <w:spacing w:line="360" w:lineRule="auto"/>
        <w:ind w:firstLine="420"/>
        <w:rPr>
          <w:rFonts w:ascii="宋体" w:hAnsi="宋体"/>
          <w:color w:val="auto"/>
          <w:szCs w:val="21"/>
          <w:highlight w:val="none"/>
        </w:rPr>
      </w:pPr>
      <w:r>
        <w:rPr>
          <w:rFonts w:ascii="宋体" w:hAnsi="宋体"/>
          <w:color w:val="auto"/>
          <w:szCs w:val="21"/>
          <w:highlight w:val="none"/>
        </w:rPr>
        <w:t xml:space="preserve">16.1 </w:t>
      </w:r>
      <w:r>
        <w:rPr>
          <w:rFonts w:hint="eastAsia" w:ascii="宋体" w:hAnsi="宋体"/>
          <w:color w:val="auto"/>
          <w:szCs w:val="21"/>
          <w:highlight w:val="none"/>
        </w:rPr>
        <w:t>由发包人解除合同</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16.1.1 </w:t>
      </w:r>
      <w:r>
        <w:rPr>
          <w:rFonts w:hint="eastAsia" w:ascii="宋体" w:hAnsi="宋体"/>
          <w:color w:val="auto"/>
          <w:szCs w:val="21"/>
          <w:highlight w:val="none"/>
        </w:rPr>
        <w:t>因承包人违约解除合同</w:t>
      </w:r>
    </w:p>
    <w:p>
      <w:pPr>
        <w:spacing w:line="360" w:lineRule="auto"/>
        <w:ind w:firstLine="420"/>
        <w:rPr>
          <w:rFonts w:ascii="宋体" w:hAnsi="宋体"/>
          <w:color w:val="auto"/>
          <w:szCs w:val="21"/>
          <w:highlight w:val="none"/>
        </w:rPr>
      </w:pPr>
      <w:r>
        <w:rPr>
          <w:rFonts w:hint="eastAsia" w:ascii="宋体" w:hAnsi="宋体"/>
          <w:color w:val="auto"/>
          <w:szCs w:val="21"/>
          <w:highlight w:val="none"/>
        </w:rPr>
        <w:t>双方约定可由发包人解除合同的其他事由：</w:t>
      </w:r>
      <w:r>
        <w:rPr>
          <w:rFonts w:hint="eastAsia" w:ascii="宋体" w:hAnsi="宋体"/>
          <w:color w:val="auto"/>
          <w:szCs w:val="21"/>
          <w:highlight w:val="none"/>
          <w:u w:val="single"/>
        </w:rPr>
        <w:t>按通用</w:t>
      </w:r>
      <w:r>
        <w:rPr>
          <w:rFonts w:ascii="宋体" w:hAnsi="宋体"/>
          <w:color w:val="auto"/>
          <w:szCs w:val="21"/>
          <w:highlight w:val="none"/>
          <w:u w:val="single"/>
        </w:rPr>
        <w:t>条款</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16.2 </w:t>
      </w:r>
      <w:r>
        <w:rPr>
          <w:rFonts w:hint="eastAsia" w:ascii="宋体" w:hAnsi="宋体"/>
          <w:color w:val="auto"/>
          <w:szCs w:val="21"/>
          <w:highlight w:val="none"/>
        </w:rPr>
        <w:t>由承包人解除合同</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16.2.1 </w:t>
      </w:r>
      <w:r>
        <w:rPr>
          <w:rFonts w:hint="eastAsia" w:ascii="宋体" w:hAnsi="宋体"/>
          <w:color w:val="auto"/>
          <w:szCs w:val="21"/>
          <w:highlight w:val="none"/>
        </w:rPr>
        <w:t>因发包人违约解除合同</w:t>
      </w:r>
    </w:p>
    <w:p>
      <w:pPr>
        <w:spacing w:line="360" w:lineRule="auto"/>
        <w:ind w:firstLine="420"/>
        <w:rPr>
          <w:rFonts w:ascii="宋体" w:hAnsi="宋体"/>
          <w:color w:val="auto"/>
          <w:szCs w:val="21"/>
          <w:highlight w:val="none"/>
        </w:rPr>
      </w:pPr>
      <w:r>
        <w:rPr>
          <w:rFonts w:hint="eastAsia" w:ascii="宋体" w:hAnsi="宋体"/>
          <w:color w:val="auto"/>
          <w:szCs w:val="21"/>
          <w:highlight w:val="none"/>
        </w:rPr>
        <w:t>双方约定可由承包人解除合同的其他事由：</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rPr>
        <w:t>。</w:t>
      </w:r>
    </w:p>
    <w:p>
      <w:pPr>
        <w:pStyle w:val="246"/>
        <w:spacing w:after="120"/>
        <w:ind w:firstLine="420"/>
        <w:outlineLvl w:val="9"/>
        <w:rPr>
          <w:b w:val="0"/>
          <w:bCs/>
          <w:color w:val="auto"/>
          <w:sz w:val="21"/>
          <w:szCs w:val="21"/>
          <w:highlight w:val="none"/>
        </w:rPr>
      </w:pPr>
      <w:bookmarkStart w:id="54" w:name="_Toc54862348"/>
      <w:r>
        <w:rPr>
          <w:rFonts w:hint="eastAsia"/>
          <w:b w:val="0"/>
          <w:bCs/>
          <w:color w:val="auto"/>
          <w:sz w:val="21"/>
          <w:szCs w:val="21"/>
          <w:highlight w:val="none"/>
        </w:rPr>
        <w:t>第</w:t>
      </w:r>
      <w:r>
        <w:rPr>
          <w:b w:val="0"/>
          <w:bCs/>
          <w:color w:val="auto"/>
          <w:sz w:val="21"/>
          <w:szCs w:val="21"/>
          <w:highlight w:val="none"/>
        </w:rPr>
        <w:t>17条</w:t>
      </w:r>
      <w:r>
        <w:rPr>
          <w:rFonts w:hint="eastAsia"/>
          <w:b w:val="0"/>
          <w:bCs/>
          <w:color w:val="auto"/>
          <w:sz w:val="21"/>
          <w:szCs w:val="21"/>
          <w:highlight w:val="none"/>
        </w:rPr>
        <w:t xml:space="preserve"> 不可抗力</w:t>
      </w:r>
      <w:bookmarkEnd w:id="54"/>
    </w:p>
    <w:p>
      <w:pPr>
        <w:spacing w:line="360" w:lineRule="auto"/>
        <w:ind w:firstLine="420"/>
        <w:rPr>
          <w:rFonts w:ascii="宋体" w:hAnsi="宋体"/>
          <w:color w:val="auto"/>
          <w:szCs w:val="21"/>
          <w:highlight w:val="none"/>
        </w:rPr>
      </w:pPr>
      <w:r>
        <w:rPr>
          <w:rFonts w:ascii="宋体" w:hAnsi="宋体"/>
          <w:color w:val="auto"/>
          <w:szCs w:val="21"/>
          <w:highlight w:val="none"/>
        </w:rPr>
        <w:t xml:space="preserve">17.1 </w:t>
      </w:r>
      <w:r>
        <w:rPr>
          <w:rFonts w:hint="eastAsia" w:ascii="宋体" w:hAnsi="宋体"/>
          <w:color w:val="auto"/>
          <w:szCs w:val="21"/>
          <w:highlight w:val="none"/>
        </w:rPr>
        <w:t>不可抗力的定义</w:t>
      </w:r>
    </w:p>
    <w:p>
      <w:pPr>
        <w:spacing w:line="360" w:lineRule="auto"/>
        <w:ind w:firstLine="420"/>
        <w:rPr>
          <w:rFonts w:ascii="宋体" w:hAnsi="宋体"/>
          <w:color w:val="auto"/>
          <w:szCs w:val="21"/>
          <w:highlight w:val="none"/>
        </w:rPr>
      </w:pPr>
      <w:r>
        <w:rPr>
          <w:rFonts w:ascii="宋体" w:hAnsi="宋体"/>
          <w:color w:val="auto"/>
          <w:szCs w:val="21"/>
          <w:highlight w:val="none"/>
        </w:rPr>
        <w:t>除通用合同条件约定的不可抗力事件之外，视为不可抗力的其他情形：</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17.6 </w:t>
      </w:r>
      <w:r>
        <w:rPr>
          <w:rFonts w:hint="eastAsia" w:ascii="宋体" w:hAnsi="宋体"/>
          <w:color w:val="auto"/>
          <w:szCs w:val="21"/>
          <w:highlight w:val="none"/>
        </w:rPr>
        <w:t>因不可抗力解除合同</w:t>
      </w:r>
    </w:p>
    <w:p>
      <w:pPr>
        <w:spacing w:line="360" w:lineRule="auto"/>
        <w:ind w:firstLine="420"/>
        <w:rPr>
          <w:rFonts w:ascii="宋体" w:hAnsi="宋体"/>
          <w:color w:val="auto"/>
          <w:szCs w:val="21"/>
          <w:highlight w:val="none"/>
        </w:rPr>
      </w:pPr>
      <w:r>
        <w:rPr>
          <w:rFonts w:ascii="宋体" w:hAnsi="宋体"/>
          <w:color w:val="auto"/>
          <w:szCs w:val="21"/>
          <w:highlight w:val="none"/>
        </w:rPr>
        <w:t>合同解除后，发包人应</w:t>
      </w:r>
      <w:r>
        <w:rPr>
          <w:rFonts w:hint="eastAsia" w:ascii="宋体" w:hAnsi="宋体"/>
          <w:color w:val="auto"/>
          <w:szCs w:val="21"/>
          <w:highlight w:val="none"/>
        </w:rPr>
        <w:t>当</w:t>
      </w:r>
      <w:r>
        <w:rPr>
          <w:rFonts w:ascii="宋体" w:hAnsi="宋体"/>
          <w:color w:val="auto"/>
          <w:szCs w:val="21"/>
          <w:highlight w:val="none"/>
        </w:rPr>
        <w:t>在商定或确定发包人应支付款项后</w:t>
      </w:r>
      <w:r>
        <w:rPr>
          <w:rFonts w:hint="eastAsia" w:ascii="宋体" w:hAnsi="宋体"/>
          <w:color w:val="auto"/>
          <w:szCs w:val="21"/>
          <w:highlight w:val="none"/>
        </w:rPr>
        <w:t>的</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28  </w:t>
      </w:r>
      <w:r>
        <w:rPr>
          <w:rFonts w:ascii="宋体" w:hAnsi="宋体"/>
          <w:color w:val="auto"/>
          <w:szCs w:val="21"/>
          <w:highlight w:val="none"/>
        </w:rPr>
        <w:t>天内完成款项的支付。</w:t>
      </w:r>
    </w:p>
    <w:p>
      <w:pPr>
        <w:pStyle w:val="246"/>
        <w:spacing w:after="120"/>
        <w:ind w:firstLine="420"/>
        <w:outlineLvl w:val="9"/>
        <w:rPr>
          <w:b w:val="0"/>
          <w:bCs/>
          <w:color w:val="auto"/>
          <w:sz w:val="21"/>
          <w:szCs w:val="21"/>
          <w:highlight w:val="none"/>
        </w:rPr>
      </w:pPr>
      <w:bookmarkStart w:id="55" w:name="_Toc4784277"/>
      <w:bookmarkEnd w:id="55"/>
      <w:bookmarkStart w:id="56" w:name="_Toc4784276"/>
      <w:bookmarkEnd w:id="56"/>
      <w:bookmarkStart w:id="57" w:name="_Toc54862349"/>
      <w:r>
        <w:rPr>
          <w:rFonts w:hint="eastAsia"/>
          <w:b w:val="0"/>
          <w:bCs/>
          <w:color w:val="auto"/>
          <w:sz w:val="21"/>
          <w:szCs w:val="21"/>
          <w:highlight w:val="none"/>
        </w:rPr>
        <w:t>第1</w:t>
      </w:r>
      <w:r>
        <w:rPr>
          <w:b w:val="0"/>
          <w:bCs/>
          <w:color w:val="auto"/>
          <w:sz w:val="21"/>
          <w:szCs w:val="21"/>
          <w:highlight w:val="none"/>
        </w:rPr>
        <w:t>8</w:t>
      </w:r>
      <w:r>
        <w:rPr>
          <w:rFonts w:hint="eastAsia"/>
          <w:b w:val="0"/>
          <w:bCs/>
          <w:color w:val="auto"/>
          <w:sz w:val="21"/>
          <w:szCs w:val="21"/>
          <w:highlight w:val="none"/>
        </w:rPr>
        <w:t>条</w:t>
      </w:r>
      <w:r>
        <w:rPr>
          <w:b w:val="0"/>
          <w:bCs/>
          <w:color w:val="auto"/>
          <w:sz w:val="21"/>
          <w:szCs w:val="21"/>
          <w:highlight w:val="none"/>
        </w:rPr>
        <w:t xml:space="preserve"> </w:t>
      </w:r>
      <w:r>
        <w:rPr>
          <w:rFonts w:hint="eastAsia"/>
          <w:b w:val="0"/>
          <w:bCs/>
          <w:color w:val="auto"/>
          <w:sz w:val="21"/>
          <w:szCs w:val="21"/>
          <w:highlight w:val="none"/>
        </w:rPr>
        <w:t>保险</w:t>
      </w:r>
      <w:bookmarkEnd w:id="57"/>
    </w:p>
    <w:p>
      <w:pPr>
        <w:spacing w:line="360" w:lineRule="auto"/>
        <w:ind w:firstLine="420"/>
        <w:rPr>
          <w:rFonts w:ascii="宋体" w:hAnsi="宋体"/>
          <w:color w:val="auto"/>
          <w:szCs w:val="21"/>
          <w:highlight w:val="none"/>
        </w:rPr>
      </w:pPr>
      <w:r>
        <w:rPr>
          <w:rFonts w:ascii="宋体" w:hAnsi="宋体"/>
          <w:color w:val="auto"/>
          <w:szCs w:val="21"/>
          <w:highlight w:val="none"/>
        </w:rPr>
        <w:t xml:space="preserve">18.1 </w:t>
      </w:r>
      <w:r>
        <w:rPr>
          <w:rFonts w:hint="eastAsia" w:ascii="宋体" w:hAnsi="宋体"/>
          <w:color w:val="auto"/>
          <w:szCs w:val="21"/>
          <w:highlight w:val="none"/>
        </w:rPr>
        <w:t>设计和工程保险</w:t>
      </w:r>
    </w:p>
    <w:p>
      <w:pPr>
        <w:spacing w:line="360" w:lineRule="auto"/>
        <w:ind w:firstLine="42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 xml:space="preserve">8.1.1 </w:t>
      </w:r>
      <w:r>
        <w:rPr>
          <w:rFonts w:hint="eastAsia" w:ascii="宋体" w:hAnsi="宋体"/>
          <w:color w:val="auto"/>
          <w:szCs w:val="21"/>
          <w:highlight w:val="none"/>
        </w:rPr>
        <w:t>双方当事人</w:t>
      </w:r>
      <w:r>
        <w:rPr>
          <w:rFonts w:ascii="宋体" w:hAnsi="宋体"/>
          <w:color w:val="auto"/>
          <w:szCs w:val="21"/>
          <w:highlight w:val="none"/>
        </w:rPr>
        <w:t>关于</w:t>
      </w:r>
      <w:r>
        <w:rPr>
          <w:rFonts w:hint="eastAsia" w:ascii="宋体" w:hAnsi="宋体"/>
          <w:color w:val="auto"/>
          <w:szCs w:val="21"/>
          <w:highlight w:val="none"/>
        </w:rPr>
        <w:t>设计和工程保险</w:t>
      </w:r>
      <w:r>
        <w:rPr>
          <w:rFonts w:ascii="宋体" w:hAnsi="宋体"/>
          <w:color w:val="auto"/>
          <w:szCs w:val="21"/>
          <w:highlight w:val="none"/>
        </w:rPr>
        <w:t>的特别</w:t>
      </w:r>
      <w:r>
        <w:rPr>
          <w:rFonts w:hint="eastAsia" w:ascii="宋体" w:hAnsi="宋体"/>
          <w:color w:val="auto"/>
          <w:szCs w:val="21"/>
          <w:highlight w:val="none"/>
        </w:rPr>
        <w:t>约</w:t>
      </w:r>
      <w:r>
        <w:rPr>
          <w:rFonts w:ascii="宋体" w:hAnsi="宋体"/>
          <w:color w:val="auto"/>
          <w:szCs w:val="21"/>
          <w:highlight w:val="none"/>
        </w:rPr>
        <w:t>定</w:t>
      </w:r>
      <w:r>
        <w:rPr>
          <w:rFonts w:hint="eastAsia" w:ascii="宋体" w:hAnsi="宋体"/>
          <w:color w:val="auto"/>
          <w:szCs w:val="21"/>
          <w:highlight w:val="none"/>
        </w:rPr>
        <w:t>：</w:t>
      </w:r>
      <w:r>
        <w:rPr>
          <w:rFonts w:hint="eastAsia" w:ascii="宋体" w:hAnsi="宋体" w:cs="宋体"/>
          <w:color w:val="auto"/>
          <w:szCs w:val="21"/>
          <w:highlight w:val="none"/>
          <w:u w:val="single"/>
        </w:rPr>
        <w:t>承包人应为其施工设备、车辆、人员等办理保险。其保险的保险种类、保险范围、投保金额、保险期限和持续有效的时间等由承包人按国家有关规定执行，其费用由承包人自行承担</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 xml:space="preserve">8.1.2 </w:t>
      </w:r>
      <w:r>
        <w:rPr>
          <w:rFonts w:hint="eastAsia" w:ascii="宋体" w:hAnsi="宋体"/>
          <w:color w:val="auto"/>
          <w:szCs w:val="21"/>
          <w:highlight w:val="none"/>
        </w:rPr>
        <w:t>双方当事人</w:t>
      </w:r>
      <w:r>
        <w:rPr>
          <w:rFonts w:ascii="宋体" w:hAnsi="宋体"/>
          <w:color w:val="auto"/>
          <w:szCs w:val="21"/>
          <w:highlight w:val="none"/>
        </w:rPr>
        <w:t>关于</w:t>
      </w:r>
      <w:r>
        <w:rPr>
          <w:rFonts w:hint="eastAsia" w:ascii="宋体" w:hAnsi="宋体"/>
          <w:color w:val="auto"/>
          <w:szCs w:val="21"/>
          <w:highlight w:val="none"/>
        </w:rPr>
        <w:t>第三方责任险</w:t>
      </w:r>
      <w:r>
        <w:rPr>
          <w:rFonts w:ascii="宋体" w:hAnsi="宋体"/>
          <w:color w:val="auto"/>
          <w:szCs w:val="21"/>
          <w:highlight w:val="none"/>
        </w:rPr>
        <w:t>的特别</w:t>
      </w:r>
      <w:r>
        <w:rPr>
          <w:rFonts w:hint="eastAsia" w:ascii="宋体" w:hAnsi="宋体"/>
          <w:color w:val="auto"/>
          <w:szCs w:val="21"/>
          <w:highlight w:val="none"/>
        </w:rPr>
        <w:t>约</w:t>
      </w:r>
      <w:r>
        <w:rPr>
          <w:rFonts w:ascii="宋体" w:hAnsi="宋体"/>
          <w:color w:val="auto"/>
          <w:szCs w:val="21"/>
          <w:highlight w:val="none"/>
        </w:rPr>
        <w:t>定：</w:t>
      </w:r>
      <w:r>
        <w:rPr>
          <w:rFonts w:hint="eastAsia" w:ascii="宋体" w:hAnsi="宋体" w:cs="宋体"/>
          <w:color w:val="auto"/>
          <w:szCs w:val="21"/>
          <w:highlight w:val="none"/>
          <w:u w:val="single"/>
        </w:rPr>
        <w:t>承包人，费用由承包人承担</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18.2 </w:t>
      </w:r>
      <w:r>
        <w:rPr>
          <w:rFonts w:hint="eastAsia" w:ascii="宋体" w:hAnsi="宋体"/>
          <w:color w:val="auto"/>
          <w:szCs w:val="21"/>
          <w:highlight w:val="none"/>
        </w:rPr>
        <w:t>工伤和意外伤害保险</w:t>
      </w:r>
    </w:p>
    <w:p>
      <w:pPr>
        <w:spacing w:line="360" w:lineRule="auto"/>
        <w:ind w:firstLine="42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8.2.3 关于</w:t>
      </w:r>
      <w:r>
        <w:rPr>
          <w:rFonts w:hint="eastAsia" w:ascii="宋体" w:hAnsi="宋体"/>
          <w:color w:val="auto"/>
          <w:szCs w:val="21"/>
          <w:highlight w:val="none"/>
        </w:rPr>
        <w:t>工伤保险和意外伤害保险</w:t>
      </w:r>
      <w:r>
        <w:rPr>
          <w:rFonts w:ascii="宋体" w:hAnsi="宋体"/>
          <w:color w:val="auto"/>
          <w:szCs w:val="21"/>
          <w:highlight w:val="none"/>
        </w:rPr>
        <w:t>的特别</w:t>
      </w:r>
      <w:r>
        <w:rPr>
          <w:rFonts w:hint="eastAsia" w:ascii="宋体" w:hAnsi="宋体"/>
          <w:color w:val="auto"/>
          <w:szCs w:val="21"/>
          <w:highlight w:val="none"/>
        </w:rPr>
        <w:t>约</w:t>
      </w:r>
      <w:r>
        <w:rPr>
          <w:rFonts w:ascii="宋体" w:hAnsi="宋体"/>
          <w:color w:val="auto"/>
          <w:szCs w:val="21"/>
          <w:highlight w:val="none"/>
        </w:rPr>
        <w:t>定：</w:t>
      </w:r>
      <w:r>
        <w:rPr>
          <w:rFonts w:hint="eastAsia" w:ascii="宋体" w:hAnsi="宋体" w:cs="宋体"/>
          <w:color w:val="auto"/>
          <w:szCs w:val="21"/>
          <w:highlight w:val="none"/>
          <w:u w:val="single"/>
        </w:rPr>
        <w:t>承包人，费用由承包人承担</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18.3 </w:t>
      </w:r>
      <w:r>
        <w:rPr>
          <w:rFonts w:hint="eastAsia" w:ascii="宋体" w:hAnsi="宋体"/>
          <w:color w:val="auto"/>
          <w:szCs w:val="21"/>
          <w:highlight w:val="none"/>
        </w:rPr>
        <w:t>货物保险</w:t>
      </w:r>
    </w:p>
    <w:p>
      <w:pPr>
        <w:spacing w:line="360" w:lineRule="auto"/>
        <w:ind w:firstLine="420"/>
        <w:rPr>
          <w:rFonts w:ascii="宋体" w:hAnsi="宋体"/>
          <w:color w:val="auto"/>
          <w:szCs w:val="21"/>
          <w:highlight w:val="none"/>
        </w:rPr>
      </w:pPr>
      <w:r>
        <w:rPr>
          <w:rFonts w:hint="eastAsia" w:ascii="宋体" w:hAnsi="宋体"/>
          <w:color w:val="auto"/>
          <w:szCs w:val="21"/>
          <w:highlight w:val="none"/>
        </w:rPr>
        <w:t>关于承包人应为其施工设备、材料、工程设备和临时工程等办理财产</w:t>
      </w:r>
      <w:r>
        <w:rPr>
          <w:rFonts w:ascii="宋体" w:hAnsi="宋体"/>
          <w:color w:val="auto"/>
          <w:szCs w:val="21"/>
          <w:highlight w:val="none"/>
        </w:rPr>
        <w:t>保险的特别</w:t>
      </w:r>
      <w:r>
        <w:rPr>
          <w:rFonts w:hint="eastAsia" w:ascii="宋体" w:hAnsi="宋体"/>
          <w:color w:val="auto"/>
          <w:szCs w:val="21"/>
          <w:highlight w:val="none"/>
        </w:rPr>
        <w:t>约</w:t>
      </w:r>
      <w:r>
        <w:rPr>
          <w:rFonts w:ascii="宋体" w:hAnsi="宋体"/>
          <w:color w:val="auto"/>
          <w:szCs w:val="21"/>
          <w:highlight w:val="none"/>
        </w:rPr>
        <w:t>定：</w:t>
      </w:r>
      <w:r>
        <w:rPr>
          <w:rFonts w:hint="eastAsia" w:ascii="宋体" w:hAnsi="宋体" w:cs="宋体"/>
          <w:color w:val="auto"/>
          <w:szCs w:val="21"/>
          <w:highlight w:val="none"/>
          <w:u w:val="single"/>
        </w:rPr>
        <w:t>承包人，费用由承包人承担</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18.4 </w:t>
      </w:r>
      <w:r>
        <w:rPr>
          <w:rFonts w:hint="eastAsia" w:ascii="宋体" w:hAnsi="宋体"/>
          <w:color w:val="auto"/>
          <w:szCs w:val="21"/>
          <w:highlight w:val="none"/>
        </w:rPr>
        <w:t>其他保险</w:t>
      </w:r>
    </w:p>
    <w:p>
      <w:pPr>
        <w:spacing w:line="360" w:lineRule="auto"/>
        <w:ind w:firstLine="420"/>
        <w:rPr>
          <w:rFonts w:ascii="宋体" w:hAnsi="宋体"/>
          <w:color w:val="auto"/>
          <w:szCs w:val="21"/>
          <w:highlight w:val="none"/>
        </w:rPr>
      </w:pPr>
      <w:r>
        <w:rPr>
          <w:rFonts w:hint="eastAsia" w:ascii="宋体" w:hAnsi="宋体"/>
          <w:color w:val="auto"/>
          <w:szCs w:val="21"/>
          <w:highlight w:val="none"/>
        </w:rPr>
        <w:t>关于其他保险的约定：</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18.5 </w:t>
      </w:r>
      <w:r>
        <w:rPr>
          <w:rFonts w:hint="eastAsia" w:ascii="宋体" w:hAnsi="宋体"/>
          <w:color w:val="auto"/>
          <w:szCs w:val="21"/>
          <w:highlight w:val="none"/>
        </w:rPr>
        <w:t>对各项保险的一般要求</w:t>
      </w:r>
    </w:p>
    <w:p>
      <w:pPr>
        <w:spacing w:line="360" w:lineRule="auto"/>
        <w:ind w:firstLine="420"/>
        <w:rPr>
          <w:rFonts w:ascii="宋体" w:hAnsi="宋体"/>
          <w:color w:val="auto"/>
          <w:szCs w:val="21"/>
          <w:highlight w:val="none"/>
        </w:rPr>
      </w:pPr>
      <w:r>
        <w:rPr>
          <w:rFonts w:ascii="宋体" w:hAnsi="宋体"/>
          <w:color w:val="auto"/>
          <w:szCs w:val="21"/>
          <w:highlight w:val="none"/>
        </w:rPr>
        <w:t>18.5.2 保险凭证</w:t>
      </w:r>
    </w:p>
    <w:p>
      <w:pPr>
        <w:spacing w:line="360" w:lineRule="auto"/>
        <w:ind w:firstLine="420"/>
        <w:rPr>
          <w:rFonts w:ascii="宋体" w:hAnsi="宋体"/>
          <w:color w:val="auto"/>
          <w:szCs w:val="21"/>
          <w:highlight w:val="none"/>
        </w:rPr>
      </w:pPr>
      <w:r>
        <w:rPr>
          <w:rFonts w:hint="eastAsia" w:ascii="宋体" w:hAnsi="宋体"/>
          <w:color w:val="auto"/>
          <w:szCs w:val="21"/>
          <w:highlight w:val="none"/>
        </w:rPr>
        <w:t>保险单的条件：</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18.5.4 通知义务</w:t>
      </w:r>
    </w:p>
    <w:p>
      <w:pPr>
        <w:spacing w:line="360" w:lineRule="auto"/>
        <w:ind w:firstLine="420"/>
        <w:rPr>
          <w:rFonts w:ascii="宋体" w:hAnsi="宋体"/>
          <w:color w:val="auto"/>
          <w:szCs w:val="21"/>
          <w:highlight w:val="none"/>
        </w:rPr>
      </w:pPr>
      <w:r>
        <w:rPr>
          <w:rFonts w:hint="eastAsia" w:ascii="宋体" w:hAnsi="宋体"/>
          <w:color w:val="auto"/>
          <w:szCs w:val="21"/>
          <w:highlight w:val="none"/>
        </w:rPr>
        <w:t>关于变更保险合同时的通知义务的约定：</w:t>
      </w:r>
      <w:r>
        <w:rPr>
          <w:rFonts w:ascii="宋体" w:hAnsi="宋体"/>
          <w:color w:val="auto"/>
          <w:szCs w:val="21"/>
          <w:highlight w:val="none"/>
          <w:u w:val="single"/>
        </w:rPr>
        <w:t xml:space="preserve">   /    </w:t>
      </w:r>
      <w:r>
        <w:rPr>
          <w:rFonts w:hint="eastAsia" w:ascii="宋体" w:hAnsi="宋体"/>
          <w:color w:val="auto"/>
          <w:szCs w:val="21"/>
          <w:highlight w:val="none"/>
        </w:rPr>
        <w:t>。</w:t>
      </w:r>
    </w:p>
    <w:p>
      <w:pPr>
        <w:pStyle w:val="246"/>
        <w:spacing w:after="120"/>
        <w:ind w:firstLine="420"/>
        <w:outlineLvl w:val="9"/>
        <w:rPr>
          <w:b w:val="0"/>
          <w:bCs/>
          <w:color w:val="auto"/>
          <w:sz w:val="21"/>
          <w:szCs w:val="21"/>
          <w:highlight w:val="none"/>
        </w:rPr>
      </w:pPr>
      <w:bookmarkStart w:id="58" w:name="_Toc54862350"/>
      <w:r>
        <w:rPr>
          <w:rFonts w:hint="eastAsia"/>
          <w:b w:val="0"/>
          <w:bCs/>
          <w:color w:val="auto"/>
          <w:sz w:val="21"/>
          <w:szCs w:val="21"/>
          <w:highlight w:val="none"/>
        </w:rPr>
        <w:t>第</w:t>
      </w:r>
      <w:r>
        <w:rPr>
          <w:b w:val="0"/>
          <w:bCs/>
          <w:color w:val="auto"/>
          <w:sz w:val="21"/>
          <w:szCs w:val="21"/>
          <w:highlight w:val="none"/>
        </w:rPr>
        <w:t>20条</w:t>
      </w:r>
      <w:r>
        <w:rPr>
          <w:rFonts w:hint="eastAsia"/>
          <w:b w:val="0"/>
          <w:bCs/>
          <w:color w:val="auto"/>
          <w:sz w:val="21"/>
          <w:szCs w:val="21"/>
          <w:highlight w:val="none"/>
        </w:rPr>
        <w:t xml:space="preserve"> 争议解决</w:t>
      </w:r>
      <w:bookmarkEnd w:id="58"/>
    </w:p>
    <w:p>
      <w:pPr>
        <w:spacing w:line="360" w:lineRule="auto"/>
        <w:ind w:firstLine="420"/>
        <w:rPr>
          <w:rFonts w:ascii="宋体" w:hAnsi="宋体"/>
          <w:color w:val="auto"/>
          <w:szCs w:val="21"/>
          <w:highlight w:val="none"/>
        </w:rPr>
      </w:pPr>
      <w:r>
        <w:rPr>
          <w:rFonts w:ascii="宋体" w:hAnsi="宋体"/>
          <w:color w:val="auto"/>
          <w:szCs w:val="21"/>
          <w:highlight w:val="none"/>
        </w:rPr>
        <w:t xml:space="preserve">20.3 </w:t>
      </w:r>
      <w:r>
        <w:rPr>
          <w:rFonts w:hint="eastAsia" w:ascii="宋体" w:hAnsi="宋体"/>
          <w:color w:val="auto"/>
          <w:szCs w:val="21"/>
          <w:highlight w:val="none"/>
        </w:rPr>
        <w:t>争议评审</w:t>
      </w:r>
    </w:p>
    <w:p>
      <w:pPr>
        <w:spacing w:line="360" w:lineRule="auto"/>
        <w:ind w:left="735" w:leftChars="200" w:hanging="315" w:hangingChars="150"/>
        <w:rPr>
          <w:rFonts w:ascii="宋体" w:hAnsi="宋体"/>
          <w:color w:val="auto"/>
          <w:szCs w:val="21"/>
          <w:highlight w:val="none"/>
        </w:rPr>
      </w:pPr>
      <w:r>
        <w:rPr>
          <w:rFonts w:hint="eastAsia" w:ascii="宋体" w:hAnsi="宋体"/>
          <w:color w:val="auto"/>
          <w:szCs w:val="21"/>
          <w:highlight w:val="none"/>
        </w:rPr>
        <w:t>合同当事人是否同意将工程争议提交争议评审小组决定：</w:t>
      </w:r>
      <w:r>
        <w:rPr>
          <w:rFonts w:ascii="宋体" w:hAnsi="宋体"/>
          <w:color w:val="auto"/>
          <w:szCs w:val="21"/>
          <w:highlight w:val="none"/>
          <w:u w:val="single"/>
        </w:rPr>
        <w:t xml:space="preserve">     </w:t>
      </w:r>
      <w:r>
        <w:rPr>
          <w:rFonts w:hint="eastAsia" w:ascii="宋体" w:hAnsi="宋体"/>
          <w:color w:val="auto"/>
          <w:szCs w:val="21"/>
          <w:highlight w:val="none"/>
          <w:u w:val="single"/>
        </w:rPr>
        <w:t>否</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20.3.1</w:t>
      </w:r>
      <w:r>
        <w:rPr>
          <w:rFonts w:hint="eastAsia" w:ascii="宋体" w:hAnsi="宋体"/>
          <w:color w:val="auto"/>
          <w:szCs w:val="21"/>
          <w:highlight w:val="none"/>
        </w:rPr>
        <w:t xml:space="preserve"> 争议评审小组</w:t>
      </w:r>
      <w:r>
        <w:rPr>
          <w:rFonts w:ascii="宋体" w:hAnsi="宋体"/>
          <w:color w:val="auto"/>
          <w:szCs w:val="21"/>
          <w:highlight w:val="none"/>
        </w:rPr>
        <w:t>的确定</w:t>
      </w:r>
    </w:p>
    <w:p>
      <w:pPr>
        <w:spacing w:line="360" w:lineRule="auto"/>
        <w:ind w:firstLine="420"/>
        <w:rPr>
          <w:rFonts w:ascii="宋体" w:hAnsi="宋体"/>
          <w:color w:val="auto"/>
          <w:szCs w:val="21"/>
          <w:highlight w:val="none"/>
        </w:rPr>
      </w:pPr>
      <w:r>
        <w:rPr>
          <w:rFonts w:hint="eastAsia" w:ascii="宋体" w:hAnsi="宋体"/>
          <w:color w:val="auto"/>
          <w:szCs w:val="21"/>
          <w:highlight w:val="none"/>
        </w:rPr>
        <w:t>争议评审小组成员的人数：</w:t>
      </w:r>
      <w:r>
        <w:rPr>
          <w:rFonts w:ascii="宋体" w:hAnsi="宋体"/>
          <w:color w:val="auto"/>
          <w:szCs w:val="21"/>
          <w:highlight w:val="none"/>
          <w:u w:val="single"/>
        </w:rPr>
        <w:t xml:space="preserve">                          </w:t>
      </w:r>
      <w:r>
        <w:rPr>
          <w:rFonts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争议评审小组成员的确定：</w:t>
      </w:r>
      <w:r>
        <w:rPr>
          <w:rFonts w:ascii="宋体" w:hAnsi="宋体"/>
          <w:color w:val="auto"/>
          <w:szCs w:val="21"/>
          <w:highlight w:val="none"/>
          <w:u w:val="single"/>
        </w:rPr>
        <w:t xml:space="preserve">                          </w:t>
      </w:r>
      <w:r>
        <w:rPr>
          <w:rFonts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选定争议避免/评审组的期限：</w:t>
      </w:r>
      <w:r>
        <w:rPr>
          <w:rFonts w:ascii="宋体" w:hAnsi="宋体"/>
          <w:color w:val="auto"/>
          <w:szCs w:val="21"/>
          <w:highlight w:val="none"/>
          <w:u w:val="single"/>
        </w:rPr>
        <w:t xml:space="preserve">                       </w:t>
      </w:r>
      <w:r>
        <w:rPr>
          <w:rFonts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评审机构：</w:t>
      </w:r>
      <w:r>
        <w:rPr>
          <w:rFonts w:ascii="宋体" w:hAnsi="宋体"/>
          <w:color w:val="auto"/>
          <w:szCs w:val="21"/>
          <w:highlight w:val="none"/>
          <w:u w:val="single"/>
        </w:rPr>
        <w:t xml:space="preserve">                                        </w:t>
      </w:r>
      <w:r>
        <w:rPr>
          <w:rFonts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其他事项的约定：</w:t>
      </w:r>
      <w:r>
        <w:rPr>
          <w:rFonts w:ascii="宋体" w:hAnsi="宋体"/>
          <w:color w:val="auto"/>
          <w:szCs w:val="21"/>
          <w:highlight w:val="none"/>
          <w:u w:val="single"/>
        </w:rPr>
        <w:t xml:space="preserve">                                  </w:t>
      </w:r>
      <w:r>
        <w:rPr>
          <w:rFonts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争议评审员报酬</w:t>
      </w:r>
      <w:r>
        <w:rPr>
          <w:rFonts w:hint="eastAsia" w:ascii="宋体" w:hAnsi="宋体"/>
          <w:color w:val="auto"/>
          <w:szCs w:val="21"/>
          <w:highlight w:val="none"/>
        </w:rPr>
        <w:t>的承担人：</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20.3.2 争议的避免</w:t>
      </w:r>
    </w:p>
    <w:p>
      <w:pPr>
        <w:spacing w:line="360" w:lineRule="auto"/>
        <w:ind w:firstLine="420"/>
        <w:rPr>
          <w:rFonts w:ascii="宋体" w:hAnsi="宋体"/>
          <w:color w:val="auto"/>
          <w:szCs w:val="21"/>
          <w:highlight w:val="none"/>
        </w:rPr>
      </w:pPr>
      <w:r>
        <w:rPr>
          <w:rFonts w:hint="eastAsia" w:ascii="宋体" w:hAnsi="宋体"/>
          <w:color w:val="auto"/>
          <w:szCs w:val="21"/>
          <w:highlight w:val="none"/>
        </w:rPr>
        <w:t>发包人和承包人是否均出席争议避免的非正式讨论：</w:t>
      </w:r>
      <w:r>
        <w:rPr>
          <w:rFonts w:ascii="宋体" w:hAnsi="宋体"/>
          <w:color w:val="auto"/>
          <w:szCs w:val="21"/>
          <w:highlight w:val="none"/>
          <w:u w:val="single"/>
        </w:rPr>
        <w:t xml:space="preserve">               </w:t>
      </w:r>
      <w:r>
        <w:rPr>
          <w:rFonts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20.3.3</w:t>
      </w:r>
      <w:r>
        <w:rPr>
          <w:rFonts w:hint="eastAsia" w:ascii="宋体" w:hAnsi="宋体"/>
          <w:color w:val="auto"/>
          <w:szCs w:val="21"/>
          <w:highlight w:val="none"/>
        </w:rPr>
        <w:t xml:space="preserve"> 争议评审小组的决定</w:t>
      </w:r>
    </w:p>
    <w:p>
      <w:pPr>
        <w:spacing w:line="360" w:lineRule="auto"/>
        <w:ind w:firstLine="420"/>
        <w:rPr>
          <w:rFonts w:ascii="宋体" w:hAnsi="宋体"/>
          <w:color w:val="auto"/>
          <w:szCs w:val="21"/>
          <w:highlight w:val="none"/>
        </w:rPr>
      </w:pPr>
      <w:r>
        <w:rPr>
          <w:rFonts w:hint="eastAsia" w:ascii="宋体" w:hAnsi="宋体"/>
          <w:color w:val="auto"/>
          <w:szCs w:val="21"/>
          <w:highlight w:val="none"/>
        </w:rPr>
        <w:t>关于争议评审小组的决定的特别约定：</w:t>
      </w:r>
      <w:r>
        <w:rPr>
          <w:rFonts w:ascii="宋体" w:hAnsi="宋体"/>
          <w:color w:val="auto"/>
          <w:szCs w:val="21"/>
          <w:highlight w:val="none"/>
          <w:u w:val="single"/>
        </w:rPr>
        <w:t xml:space="preserve">                </w:t>
      </w:r>
      <w:r>
        <w:rPr>
          <w:rFonts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 xml:space="preserve">20.4 </w:t>
      </w:r>
      <w:r>
        <w:rPr>
          <w:rFonts w:hint="eastAsia" w:ascii="宋体" w:hAnsi="宋体"/>
          <w:color w:val="auto"/>
          <w:szCs w:val="21"/>
          <w:highlight w:val="none"/>
        </w:rPr>
        <w:t>仲裁或诉讼</w:t>
      </w:r>
    </w:p>
    <w:p>
      <w:pPr>
        <w:spacing w:line="360" w:lineRule="auto"/>
        <w:ind w:firstLine="420"/>
        <w:rPr>
          <w:rFonts w:ascii="宋体" w:hAnsi="宋体"/>
          <w:color w:val="auto"/>
          <w:szCs w:val="21"/>
          <w:highlight w:val="none"/>
        </w:rPr>
      </w:pPr>
      <w:r>
        <w:rPr>
          <w:rFonts w:hint="eastAsia" w:ascii="宋体" w:hAnsi="宋体"/>
          <w:color w:val="auto"/>
          <w:szCs w:val="21"/>
          <w:highlight w:val="none"/>
        </w:rPr>
        <w:t>因合同及合同有关事项发生的争议，按下列第</w:t>
      </w:r>
      <w:r>
        <w:rPr>
          <w:rFonts w:ascii="宋体" w:hAnsi="宋体"/>
          <w:color w:val="auto"/>
          <w:szCs w:val="21"/>
          <w:highlight w:val="none"/>
          <w:u w:val="single"/>
        </w:rPr>
        <w:t xml:space="preserve"> 2 </w:t>
      </w:r>
      <w:r>
        <w:rPr>
          <w:rFonts w:ascii="宋体" w:hAnsi="宋体"/>
          <w:color w:val="auto"/>
          <w:szCs w:val="21"/>
          <w:highlight w:val="none"/>
        </w:rPr>
        <w:t>种方式解决：</w:t>
      </w:r>
    </w:p>
    <w:p>
      <w:pPr>
        <w:spacing w:line="360" w:lineRule="auto"/>
        <w:ind w:firstLine="42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1）向</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szCs w:val="21"/>
          <w:highlight w:val="none"/>
        </w:rPr>
        <w:t>仲裁委员会申请仲裁；</w:t>
      </w:r>
    </w:p>
    <w:p>
      <w:pPr>
        <w:spacing w:line="360" w:lineRule="auto"/>
        <w:ind w:firstLine="42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2）向</w:t>
      </w:r>
      <w:r>
        <w:rPr>
          <w:rFonts w:ascii="宋体" w:hAnsi="宋体"/>
          <w:color w:val="auto"/>
          <w:szCs w:val="21"/>
          <w:highlight w:val="none"/>
          <w:u w:val="single"/>
        </w:rPr>
        <w:t xml:space="preserve">   </w:t>
      </w:r>
      <w:r>
        <w:rPr>
          <w:rFonts w:hint="eastAsia" w:ascii="宋体" w:hAnsi="宋体" w:cs="宋体"/>
          <w:color w:val="auto"/>
          <w:szCs w:val="21"/>
          <w:highlight w:val="none"/>
          <w:u w:val="single"/>
        </w:rPr>
        <w:t>项目所在地</w:t>
      </w:r>
      <w:r>
        <w:rPr>
          <w:rFonts w:ascii="宋体" w:hAnsi="宋体"/>
          <w:color w:val="auto"/>
          <w:szCs w:val="21"/>
          <w:highlight w:val="none"/>
          <w:u w:val="single"/>
        </w:rPr>
        <w:t xml:space="preserve">     </w:t>
      </w:r>
      <w:r>
        <w:rPr>
          <w:rFonts w:ascii="宋体" w:hAnsi="宋体"/>
          <w:color w:val="auto"/>
          <w:szCs w:val="21"/>
          <w:highlight w:val="none"/>
        </w:rPr>
        <w:t>人民法院起诉。</w:t>
      </w:r>
    </w:p>
    <w:p>
      <w:pPr>
        <w:spacing w:line="360" w:lineRule="auto"/>
        <w:jc w:val="left"/>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 xml:space="preserve">. </w:t>
      </w:r>
      <w:r>
        <w:rPr>
          <w:rFonts w:hint="eastAsia" w:ascii="宋体" w:hAnsi="宋体"/>
          <w:color w:val="auto"/>
          <w:szCs w:val="21"/>
          <w:highlight w:val="none"/>
        </w:rPr>
        <w:t>补允条款</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承包人必须遵守国家税收法律、法规相关规定及条款，按照建筑业营改增税收政策规定，依法、诚信履行纳税义务。其中</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（1）</w:t>
      </w:r>
      <w:r>
        <w:rPr>
          <w:rFonts w:hint="eastAsia" w:ascii="宋体" w:hAnsi="宋体"/>
          <w:color w:val="auto"/>
          <w:szCs w:val="21"/>
          <w:highlight w:val="none"/>
          <w:u w:val="single"/>
        </w:rPr>
        <w:t>本市辖区的承包方，必须按照纳税义务发生时间开具发票，并按税法规定期限进行纳税申报、缴纳税款</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（2）</w:t>
      </w:r>
      <w:r>
        <w:rPr>
          <w:rFonts w:hint="eastAsia" w:ascii="宋体" w:hAnsi="宋体"/>
          <w:color w:val="auto"/>
          <w:szCs w:val="21"/>
          <w:highlight w:val="none"/>
          <w:u w:val="single"/>
        </w:rPr>
        <w:t>跨县（市、区）的承包人，应持机构所在地税务机关开具《 外出经营活动税收管理证明 》在规定时限内办理报验登记；必须按照提供建筑服务预缴税款时间，在建筑服务发生地，按规定办理增值税预缴及其他附加税费、企业所得税、个人所得税的缴纳</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如发现建筑施工方违反上述有关规定的，发包人将通报建设行政主管部门，纳入信用体系。</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承包人在按合同约定时间收取建筑服务款项时，应向发包人提供发票；其中，跨县（市、区）提供建筑服务的发包人还需提供《增值税预缴税款表》和完税凭证。否则，发包人有权拒付</w:t>
      </w:r>
      <w:r>
        <w:rPr>
          <w:rFonts w:hint="eastAsia" w:ascii="宋体" w:hAnsi="宋体"/>
          <w:color w:val="auto"/>
          <w:szCs w:val="21"/>
          <w:highlight w:val="none"/>
        </w:rPr>
        <w:t>。</w:t>
      </w:r>
    </w:p>
    <w:p>
      <w:pPr>
        <w:spacing w:line="360" w:lineRule="auto"/>
        <w:ind w:firstLine="420" w:firstLineChars="200"/>
        <w:rPr>
          <w:rFonts w:ascii="宋体" w:hAnsi="宋体"/>
          <w:b/>
          <w:color w:val="auto"/>
          <w:szCs w:val="21"/>
          <w:highlight w:val="none"/>
          <w:u w:val="single"/>
        </w:rPr>
      </w:pPr>
      <w:r>
        <w:rPr>
          <w:rFonts w:hint="eastAsia" w:ascii="宋体" w:hAnsi="宋体"/>
          <w:color w:val="auto"/>
          <w:szCs w:val="21"/>
          <w:highlight w:val="none"/>
        </w:rPr>
        <w:t>2、</w:t>
      </w:r>
      <w:r>
        <w:rPr>
          <w:rFonts w:hint="eastAsia" w:ascii="宋体" w:hAnsi="宋体"/>
          <w:b/>
          <w:color w:val="auto"/>
          <w:kern w:val="0"/>
          <w:szCs w:val="21"/>
          <w:highlight w:val="none"/>
        </w:rPr>
        <w:t>固废处置约定：</w:t>
      </w:r>
      <w:r>
        <w:rPr>
          <w:rFonts w:hint="eastAsia" w:ascii="宋体" w:hAnsi="宋体"/>
          <w:b/>
          <w:color w:val="auto"/>
          <w:kern w:val="0"/>
          <w:szCs w:val="21"/>
          <w:highlight w:val="none"/>
          <w:u w:val="single"/>
        </w:rPr>
        <w:t>承包人承诺根据当地政府管理做好施工现场的固废处置工作</w:t>
      </w:r>
      <w:r>
        <w:rPr>
          <w:rFonts w:hint="eastAsia" w:ascii="宋体" w:hAnsi="宋体"/>
          <w:b/>
          <w:color w:val="auto"/>
          <w:kern w:val="0"/>
          <w:szCs w:val="21"/>
          <w:highlight w:val="none"/>
        </w:rPr>
        <w:t>。</w:t>
      </w:r>
    </w:p>
    <w:p>
      <w:pPr>
        <w:spacing w:line="360" w:lineRule="auto"/>
        <w:ind w:firstLine="422" w:firstLineChars="200"/>
        <w:rPr>
          <w:rFonts w:ascii="宋体" w:hAnsi="宋体"/>
          <w:color w:val="auto"/>
          <w:szCs w:val="21"/>
          <w:highlight w:val="none"/>
        </w:rPr>
      </w:pPr>
      <w:r>
        <w:rPr>
          <w:rFonts w:hint="eastAsia" w:ascii="宋体" w:hAnsi="宋体"/>
          <w:b/>
          <w:color w:val="auto"/>
          <w:kern w:val="0"/>
          <w:szCs w:val="21"/>
          <w:highlight w:val="none"/>
        </w:rPr>
        <w:t>3、</w:t>
      </w:r>
      <w:r>
        <w:rPr>
          <w:rFonts w:hint="eastAsia" w:ascii="宋体" w:hAnsi="宋体"/>
          <w:color w:val="auto"/>
          <w:szCs w:val="21"/>
          <w:highlight w:val="none"/>
          <w:u w:val="single"/>
        </w:rPr>
        <w:t>如果承包人已经进入非重组的清算程序和严重违约，或承包人有下述情况</w:t>
      </w:r>
      <w:r>
        <w:rPr>
          <w:rFonts w:hint="eastAsia" w:ascii="宋体" w:hAnsi="宋体"/>
          <w:color w:val="auto"/>
          <w:szCs w:val="21"/>
          <w:highlight w:val="none"/>
        </w:rPr>
        <w:t>：</w:t>
      </w:r>
    </w:p>
    <w:p>
      <w:pPr>
        <w:tabs>
          <w:tab w:val="left" w:pos="180"/>
          <w:tab w:val="left" w:pos="540"/>
          <w:tab w:val="left" w:pos="720"/>
          <w:tab w:val="left" w:pos="900"/>
        </w:tabs>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（1）</w:t>
      </w:r>
      <w:r>
        <w:rPr>
          <w:rFonts w:hint="eastAsia" w:ascii="宋体" w:hAnsi="宋体"/>
          <w:color w:val="auto"/>
          <w:szCs w:val="21"/>
          <w:highlight w:val="none"/>
          <w:u w:val="single"/>
        </w:rPr>
        <w:t>已放弃合同</w:t>
      </w:r>
      <w:r>
        <w:rPr>
          <w:rFonts w:hint="eastAsia" w:ascii="宋体" w:hAnsi="宋体"/>
          <w:color w:val="auto"/>
          <w:szCs w:val="21"/>
          <w:highlight w:val="none"/>
        </w:rPr>
        <w:t>；</w:t>
      </w:r>
    </w:p>
    <w:p>
      <w:pPr>
        <w:tabs>
          <w:tab w:val="left" w:pos="180"/>
          <w:tab w:val="left" w:pos="540"/>
          <w:tab w:val="left" w:pos="720"/>
          <w:tab w:val="left" w:pos="900"/>
        </w:tabs>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（2）</w:t>
      </w:r>
      <w:r>
        <w:rPr>
          <w:rFonts w:hint="eastAsia" w:ascii="宋体" w:hAnsi="宋体"/>
          <w:color w:val="auto"/>
          <w:szCs w:val="21"/>
          <w:highlight w:val="none"/>
          <w:u w:val="single"/>
        </w:rPr>
        <w:t>无正当理由停工；</w:t>
      </w:r>
    </w:p>
    <w:p>
      <w:pPr>
        <w:tabs>
          <w:tab w:val="left" w:pos="180"/>
          <w:tab w:val="left" w:pos="540"/>
          <w:tab w:val="left" w:pos="720"/>
          <w:tab w:val="left" w:pos="90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rPr>
        <w:t>无视发包人或总监理工程师事先的书面警告，不履行合同规定的义务，严重影响工程质量、进度、安全或给发包人造成重大损失</w:t>
      </w:r>
      <w:r>
        <w:rPr>
          <w:rFonts w:hint="eastAsia" w:ascii="宋体" w:hAnsi="宋体"/>
          <w:color w:val="auto"/>
          <w:szCs w:val="21"/>
          <w:highlight w:val="none"/>
        </w:rPr>
        <w:t>。</w:t>
      </w:r>
    </w:p>
    <w:p>
      <w:pPr>
        <w:tabs>
          <w:tab w:val="left" w:pos="180"/>
          <w:tab w:val="left" w:pos="540"/>
          <w:tab w:val="left" w:pos="720"/>
          <w:tab w:val="left" w:pos="900"/>
        </w:tabs>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则发包人在向承包人发出书面通知的14天之内可以进驻现场和接管工程，终止承包人对本合同中工程的承包，但不因此解除合同规定的承包人的任何义务和责任，或影响合同赋予发包人或总监理工程师的各种职权，发包人可邀请其他承包人完成该工程。发包人邀请的其他承包人为了完成本工程，可以有偿使用他们认为合适数量的承包人的装备、临时工程和材料</w:t>
      </w:r>
      <w:r>
        <w:rPr>
          <w:rFonts w:hint="eastAsia" w:ascii="宋体" w:hAnsi="宋体"/>
          <w:color w:val="auto"/>
          <w:szCs w:val="21"/>
          <w:highlight w:val="none"/>
        </w:rPr>
        <w:t>。</w:t>
      </w:r>
    </w:p>
    <w:p>
      <w:pPr>
        <w:tabs>
          <w:tab w:val="left" w:pos="180"/>
          <w:tab w:val="left" w:pos="540"/>
          <w:tab w:val="left" w:pos="720"/>
          <w:tab w:val="left" w:pos="900"/>
        </w:tabs>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如果本工程合同根据本条规定、被发包人中止且发包人已接管工程。则承包人应迅速放弃对工地的控制并在7天内撤离其他人员和不再被使用的装备、临时工程和材料。否则承包人向发包人支付每天2000元计算的违约金</w:t>
      </w:r>
    </w:p>
    <w:p>
      <w:pPr>
        <w:tabs>
          <w:tab w:val="left" w:pos="180"/>
          <w:tab w:val="left" w:pos="540"/>
          <w:tab w:val="left" w:pos="720"/>
          <w:tab w:val="left" w:pos="900"/>
        </w:tabs>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由此如果合同按前款予以终止，则工程竣工后发包方应向承包人支付合同终止之日以前已完成的全部工程的费用（尚需扣除各类应扣除的违约金或其他款项，如临时设施费、保险费等各类不随工程量变化的费用按造价比例分摊。但不包括承包人的撤离退场的费用或承包人的任何损失。）</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4、</w:t>
      </w:r>
      <w:r>
        <w:rPr>
          <w:rFonts w:hint="eastAsia" w:ascii="宋体" w:hAnsi="宋体"/>
          <w:color w:val="auto"/>
          <w:szCs w:val="21"/>
          <w:highlight w:val="none"/>
          <w:u w:val="single"/>
        </w:rPr>
        <w:t>在项目实施过程中，承包人须积极办理政府备案和电网入网相关手续所需材料，否则，发包人有权在任何一次进度款中扣除罚款金额，罚款总额不超过5万元</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5、</w:t>
      </w:r>
      <w:r>
        <w:rPr>
          <w:rFonts w:hint="eastAsia" w:ascii="宋体" w:hAnsi="宋体"/>
          <w:color w:val="auto"/>
          <w:szCs w:val="21"/>
          <w:highlight w:val="none"/>
          <w:u w:val="single"/>
        </w:rPr>
        <w:t>在项目实施过程中，承包人须协助发包人处理与周边业主之间的关系</w:t>
      </w:r>
      <w:r>
        <w:rPr>
          <w:rFonts w:hint="eastAsia" w:ascii="宋体" w:hAnsi="宋体"/>
          <w:color w:val="auto"/>
          <w:szCs w:val="21"/>
          <w:highlight w:val="none"/>
        </w:rPr>
        <w:t>。</w:t>
      </w:r>
    </w:p>
    <w:p>
      <w:pPr>
        <w:tabs>
          <w:tab w:val="left" w:pos="180"/>
          <w:tab w:val="left" w:pos="540"/>
          <w:tab w:val="left" w:pos="720"/>
          <w:tab w:val="left" w:pos="900"/>
        </w:tabs>
        <w:spacing w:line="360" w:lineRule="auto"/>
        <w:ind w:firstLine="420" w:firstLineChars="200"/>
        <w:rPr>
          <w:rFonts w:ascii="宋体" w:hAnsi="宋体"/>
          <w:color w:val="auto"/>
          <w:highlight w:val="none"/>
        </w:rPr>
      </w:pPr>
      <w:r>
        <w:rPr>
          <w:rFonts w:hint="eastAsia" w:ascii="宋体" w:hAnsi="宋体"/>
          <w:color w:val="auto"/>
          <w:szCs w:val="21"/>
          <w:highlight w:val="none"/>
        </w:rPr>
        <w:t>6、</w:t>
      </w:r>
      <w:r>
        <w:rPr>
          <w:rFonts w:hint="eastAsia" w:ascii="宋体" w:hAnsi="宋体"/>
          <w:color w:val="auto"/>
          <w:szCs w:val="21"/>
          <w:highlight w:val="none"/>
          <w:u w:val="single"/>
        </w:rPr>
        <w:t>施工载重汽车便道，行驶路线及进出口子按业主要求执行</w:t>
      </w:r>
      <w:r>
        <w:rPr>
          <w:rFonts w:hint="eastAsia" w:ascii="宋体" w:hAnsi="宋体"/>
          <w:color w:val="auto"/>
          <w:szCs w:val="21"/>
          <w:highlight w:val="none"/>
        </w:rPr>
        <w:t>。</w:t>
      </w:r>
    </w:p>
    <w:p>
      <w:pPr>
        <w:pStyle w:val="76"/>
        <w:spacing w:line="360" w:lineRule="auto"/>
        <w:ind w:left="0" w:leftChars="0" w:firstLine="0" w:firstLineChars="0"/>
        <w:rPr>
          <w:rFonts w:ascii="宋体" w:hAnsi="宋体" w:eastAsia="宋体"/>
          <w:color w:val="auto"/>
          <w:szCs w:val="21"/>
          <w:highlight w:val="none"/>
        </w:rPr>
      </w:pPr>
      <w:r>
        <w:rPr>
          <w:rFonts w:hint="eastAsia" w:ascii="宋体" w:hAnsi="宋体" w:eastAsia="宋体"/>
          <w:color w:val="auto"/>
          <w:highlight w:val="none"/>
        </w:rPr>
        <w:t xml:space="preserve"> </w:t>
      </w:r>
      <w:r>
        <w:rPr>
          <w:rFonts w:ascii="宋体" w:hAnsi="宋体" w:eastAsia="宋体"/>
          <w:color w:val="auto"/>
          <w:szCs w:val="21"/>
          <w:highlight w:val="none"/>
        </w:rPr>
        <w:t xml:space="preserve">   </w:t>
      </w:r>
      <w:r>
        <w:rPr>
          <w:rFonts w:hint="eastAsia" w:ascii="宋体" w:hAnsi="宋体" w:eastAsia="宋体"/>
          <w:color w:val="auto"/>
          <w:szCs w:val="21"/>
          <w:highlight w:val="none"/>
        </w:rPr>
        <w:t>7、</w:t>
      </w:r>
      <w:r>
        <w:rPr>
          <w:rFonts w:hint="eastAsia" w:ascii="宋体" w:hAnsi="宋体" w:eastAsia="宋体"/>
          <w:color w:val="auto"/>
          <w:szCs w:val="21"/>
          <w:highlight w:val="none"/>
          <w:u w:val="single"/>
        </w:rPr>
        <w:t>本合同约定的“罚”、“罚款”、“罚金”等，除明显属于行政处罚的以外，均属于一方向另一方承担违约责任的方式。各项义务或责任有冲突的，按较重义务或责任定</w:t>
      </w:r>
      <w:r>
        <w:rPr>
          <w:rFonts w:hint="eastAsia" w:ascii="宋体" w:hAnsi="宋体" w:eastAsia="宋体"/>
          <w:color w:val="auto"/>
          <w:szCs w:val="21"/>
          <w:highlight w:val="none"/>
        </w:rPr>
        <w:t>。</w:t>
      </w:r>
    </w:p>
    <w:p>
      <w:pPr>
        <w:spacing w:line="360" w:lineRule="auto"/>
        <w:ind w:firstLine="420" w:firstLineChars="200"/>
        <w:jc w:val="left"/>
        <w:rPr>
          <w:rFonts w:ascii="宋体" w:hAnsi="宋体"/>
          <w:color w:val="auto"/>
          <w:szCs w:val="21"/>
          <w:highlight w:val="none"/>
          <w:u w:val="single"/>
        </w:rPr>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720" w:footer="998" w:gutter="0"/>
          <w:pgNumType w:start="0"/>
          <w:cols w:space="720" w:num="1"/>
          <w:docGrid w:linePitch="326" w:charSpace="0"/>
        </w:sectPr>
      </w:pPr>
      <w:r>
        <w:rPr>
          <w:rFonts w:hint="eastAsia" w:ascii="宋体" w:hAnsi="宋体"/>
          <w:color w:val="auto"/>
          <w:szCs w:val="21"/>
          <w:highlight w:val="none"/>
        </w:rPr>
        <w:t>8、</w:t>
      </w:r>
      <w:r>
        <w:rPr>
          <w:rFonts w:hint="eastAsia" w:ascii="宋体" w:hAnsi="宋体"/>
          <w:color w:val="auto"/>
          <w:szCs w:val="21"/>
          <w:highlight w:val="none"/>
          <w:u w:val="single"/>
        </w:rPr>
        <w:t>钢结构罩棚屋面作业时必须做好铺设牢固的走道板和设置生命绳等安全防护措施，一律不得直接在屋面轻质型材上通行，光伏板不得在钢结构罩棚屋面集中堆放</w:t>
      </w:r>
      <w:r>
        <w:rPr>
          <w:rFonts w:hint="eastAsia" w:ascii="宋体" w:hAnsi="宋体"/>
          <w:color w:val="auto"/>
          <w:szCs w:val="21"/>
          <w:highlight w:val="none"/>
        </w:rPr>
        <w:t>。</w:t>
      </w:r>
    </w:p>
    <w:p>
      <w:pPr>
        <w:pStyle w:val="215"/>
        <w:keepNext w:val="0"/>
        <w:keepLines w:val="0"/>
        <w:widowControl/>
        <w:adjustRightInd w:val="0"/>
        <w:snapToGrid w:val="0"/>
        <w:spacing w:before="0" w:after="120" w:line="312" w:lineRule="auto"/>
        <w:ind w:firstLine="420"/>
        <w:outlineLvl w:val="9"/>
        <w:rPr>
          <w:color w:val="auto"/>
          <w:sz w:val="21"/>
          <w:szCs w:val="21"/>
          <w:highlight w:val="none"/>
        </w:rPr>
      </w:pPr>
      <w:bookmarkStart w:id="59" w:name="_Toc54862351"/>
      <w:r>
        <w:rPr>
          <w:rFonts w:hint="eastAsia"/>
          <w:color w:val="auto"/>
          <w:sz w:val="21"/>
          <w:szCs w:val="21"/>
          <w:highlight w:val="none"/>
        </w:rPr>
        <w:t>专用合同条件附件</w:t>
      </w:r>
      <w:bookmarkEnd w:id="59"/>
    </w:p>
    <w:p>
      <w:pPr>
        <w:spacing w:line="720" w:lineRule="auto"/>
        <w:ind w:firstLine="420"/>
        <w:rPr>
          <w:color w:val="auto"/>
          <w:szCs w:val="21"/>
          <w:highlight w:val="none"/>
        </w:rPr>
      </w:pPr>
    </w:p>
    <w:p>
      <w:pPr>
        <w:spacing w:line="720" w:lineRule="auto"/>
        <w:ind w:firstLine="420"/>
        <w:rPr>
          <w:rFonts w:cs="仿宋_GB2312"/>
          <w:color w:val="auto"/>
          <w:szCs w:val="21"/>
          <w:highlight w:val="none"/>
        </w:rPr>
      </w:pPr>
      <w:r>
        <w:rPr>
          <w:rFonts w:hint="eastAsia" w:cs="仿宋_GB2312"/>
          <w:color w:val="auto"/>
          <w:szCs w:val="21"/>
          <w:highlight w:val="none"/>
        </w:rPr>
        <w:t>附件</w:t>
      </w:r>
      <w:r>
        <w:rPr>
          <w:rFonts w:cs="仿宋_GB2312"/>
          <w:color w:val="auto"/>
          <w:szCs w:val="21"/>
          <w:highlight w:val="none"/>
        </w:rPr>
        <w:t>1</w:t>
      </w:r>
      <w:r>
        <w:rPr>
          <w:rFonts w:hint="eastAsia" w:cs="仿宋_GB2312"/>
          <w:color w:val="auto"/>
          <w:szCs w:val="21"/>
          <w:highlight w:val="none"/>
        </w:rPr>
        <w:t>：工程质量保修书</w:t>
      </w:r>
    </w:p>
    <w:p>
      <w:pPr>
        <w:spacing w:line="720" w:lineRule="auto"/>
        <w:ind w:firstLine="420"/>
        <w:rPr>
          <w:rFonts w:cs="仿宋_GB2312"/>
          <w:color w:val="auto"/>
          <w:szCs w:val="21"/>
          <w:highlight w:val="none"/>
        </w:rPr>
      </w:pPr>
      <w:r>
        <w:rPr>
          <w:rFonts w:hint="eastAsia" w:cs="仿宋_GB2312"/>
          <w:color w:val="auto"/>
          <w:szCs w:val="21"/>
          <w:highlight w:val="none"/>
        </w:rPr>
        <w:t>附件</w:t>
      </w:r>
      <w:r>
        <w:rPr>
          <w:rFonts w:cs="仿宋_GB2312"/>
          <w:color w:val="auto"/>
          <w:szCs w:val="21"/>
          <w:highlight w:val="none"/>
        </w:rPr>
        <w:t>2</w:t>
      </w:r>
      <w:r>
        <w:rPr>
          <w:rFonts w:hint="eastAsia" w:cs="仿宋_GB2312"/>
          <w:color w:val="auto"/>
          <w:szCs w:val="21"/>
          <w:highlight w:val="none"/>
        </w:rPr>
        <w:t>：主要建设工程文件目录</w:t>
      </w:r>
    </w:p>
    <w:p>
      <w:pPr>
        <w:spacing w:line="720" w:lineRule="auto"/>
        <w:ind w:firstLine="420"/>
        <w:rPr>
          <w:rFonts w:cs="仿宋_GB2312"/>
          <w:color w:val="auto"/>
          <w:szCs w:val="21"/>
          <w:highlight w:val="none"/>
        </w:rPr>
      </w:pPr>
      <w:r>
        <w:rPr>
          <w:rFonts w:hint="eastAsia" w:cs="仿宋_GB2312"/>
          <w:color w:val="auto"/>
          <w:szCs w:val="21"/>
          <w:highlight w:val="none"/>
        </w:rPr>
        <w:t>附件</w:t>
      </w:r>
      <w:r>
        <w:rPr>
          <w:rFonts w:cs="仿宋_GB2312"/>
          <w:color w:val="auto"/>
          <w:szCs w:val="21"/>
          <w:highlight w:val="none"/>
        </w:rPr>
        <w:t>3</w:t>
      </w:r>
      <w:r>
        <w:rPr>
          <w:rFonts w:hint="eastAsia" w:cs="仿宋_GB2312"/>
          <w:color w:val="auto"/>
          <w:szCs w:val="21"/>
          <w:highlight w:val="none"/>
        </w:rPr>
        <w:t>：承包人主要管理人员表</w:t>
      </w:r>
    </w:p>
    <w:p>
      <w:pPr>
        <w:spacing w:line="720" w:lineRule="auto"/>
        <w:ind w:firstLine="420"/>
        <w:rPr>
          <w:rFonts w:cs="仿宋_GB2312"/>
          <w:color w:val="auto"/>
          <w:szCs w:val="21"/>
          <w:highlight w:val="none"/>
        </w:rPr>
      </w:pPr>
      <w:r>
        <w:rPr>
          <w:rFonts w:hint="eastAsia" w:cs="仿宋_GB2312"/>
          <w:color w:val="auto"/>
          <w:szCs w:val="21"/>
          <w:highlight w:val="none"/>
        </w:rPr>
        <w:t>附件</w:t>
      </w:r>
      <w:r>
        <w:rPr>
          <w:rFonts w:cs="仿宋_GB2312"/>
          <w:color w:val="auto"/>
          <w:szCs w:val="21"/>
          <w:highlight w:val="none"/>
        </w:rPr>
        <w:t>4</w:t>
      </w:r>
      <w:r>
        <w:rPr>
          <w:rFonts w:hint="eastAsia" w:cs="仿宋_GB2312"/>
          <w:color w:val="auto"/>
          <w:szCs w:val="21"/>
          <w:highlight w:val="none"/>
        </w:rPr>
        <w:t>：工程建设项目廉政责任书</w:t>
      </w:r>
    </w:p>
    <w:p>
      <w:pPr>
        <w:spacing w:line="720" w:lineRule="auto"/>
        <w:ind w:firstLine="420"/>
        <w:rPr>
          <w:rFonts w:cs="仿宋_GB2312"/>
          <w:color w:val="auto"/>
          <w:szCs w:val="21"/>
          <w:highlight w:val="none"/>
        </w:rPr>
      </w:pPr>
      <w:r>
        <w:rPr>
          <w:rFonts w:hint="eastAsia" w:cs="仿宋_GB2312"/>
          <w:color w:val="auto"/>
          <w:szCs w:val="21"/>
          <w:highlight w:val="none"/>
        </w:rPr>
        <w:t>附件</w:t>
      </w:r>
      <w:r>
        <w:rPr>
          <w:rFonts w:cs="仿宋_GB2312"/>
          <w:color w:val="auto"/>
          <w:szCs w:val="21"/>
          <w:highlight w:val="none"/>
        </w:rPr>
        <w:t>5</w:t>
      </w:r>
      <w:r>
        <w:rPr>
          <w:rFonts w:hint="eastAsia" w:cs="仿宋_GB2312"/>
          <w:color w:val="auto"/>
          <w:szCs w:val="21"/>
          <w:highlight w:val="none"/>
        </w:rPr>
        <w:t>：工程施工HSSE协议</w:t>
      </w:r>
    </w:p>
    <w:p>
      <w:pPr>
        <w:spacing w:line="720" w:lineRule="auto"/>
        <w:ind w:firstLine="420"/>
        <w:rPr>
          <w:rFonts w:cs="仿宋_GB2312"/>
          <w:color w:val="auto"/>
          <w:szCs w:val="21"/>
          <w:highlight w:val="none"/>
        </w:rPr>
      </w:pPr>
      <w:r>
        <w:rPr>
          <w:rFonts w:hint="eastAsia" w:cs="仿宋_GB2312"/>
          <w:color w:val="auto"/>
          <w:szCs w:val="21"/>
          <w:highlight w:val="none"/>
        </w:rPr>
        <w:t>附件</w:t>
      </w:r>
      <w:r>
        <w:rPr>
          <w:rFonts w:cs="仿宋_GB2312"/>
          <w:color w:val="auto"/>
          <w:szCs w:val="21"/>
          <w:highlight w:val="none"/>
        </w:rPr>
        <w:t>6</w:t>
      </w:r>
      <w:r>
        <w:rPr>
          <w:rFonts w:hint="eastAsia" w:cs="仿宋_GB2312"/>
          <w:color w:val="auto"/>
          <w:szCs w:val="21"/>
          <w:highlight w:val="none"/>
        </w:rPr>
        <w:t>：施工现场承包商AB类问题处罚标准</w:t>
      </w:r>
    </w:p>
    <w:p>
      <w:pPr>
        <w:pStyle w:val="76"/>
        <w:rPr>
          <w:color w:val="auto"/>
          <w:highlight w:val="none"/>
        </w:rPr>
      </w:pPr>
    </w:p>
    <w:p>
      <w:pPr>
        <w:spacing w:line="312" w:lineRule="auto"/>
        <w:ind w:firstLine="420"/>
        <w:rPr>
          <w:color w:val="auto"/>
          <w:szCs w:val="21"/>
          <w:highlight w:val="none"/>
        </w:rPr>
      </w:pPr>
    </w:p>
    <w:p>
      <w:pPr>
        <w:spacing w:line="312" w:lineRule="auto"/>
        <w:ind w:firstLine="420"/>
        <w:rPr>
          <w:color w:val="auto"/>
          <w:szCs w:val="21"/>
          <w:highlight w:val="none"/>
        </w:rPr>
      </w:pPr>
    </w:p>
    <w:p>
      <w:pPr>
        <w:spacing w:line="312" w:lineRule="auto"/>
        <w:ind w:firstLine="420"/>
        <w:rPr>
          <w:color w:val="auto"/>
          <w:szCs w:val="21"/>
          <w:highlight w:val="none"/>
        </w:rPr>
      </w:pPr>
    </w:p>
    <w:p>
      <w:pPr>
        <w:spacing w:line="312" w:lineRule="auto"/>
        <w:jc w:val="left"/>
        <w:rPr>
          <w:bCs/>
          <w:color w:val="auto"/>
          <w:szCs w:val="21"/>
          <w:highlight w:val="none"/>
        </w:rPr>
      </w:pPr>
      <w:r>
        <w:rPr>
          <w:color w:val="auto"/>
          <w:szCs w:val="21"/>
          <w:highlight w:val="none"/>
        </w:rPr>
        <w:br w:type="page"/>
      </w:r>
    </w:p>
    <w:p>
      <w:pPr>
        <w:pStyle w:val="255"/>
        <w:numPr>
          <w:ilvl w:val="0"/>
          <w:numId w:val="0"/>
        </w:numPr>
        <w:wordWrap/>
        <w:spacing w:after="120" w:line="312" w:lineRule="auto"/>
        <w:jc w:val="left"/>
        <w:outlineLvl w:val="9"/>
        <w:rPr>
          <w:rFonts w:ascii="宋体" w:hAnsi="宋体" w:eastAsia="宋体"/>
          <w:b w:val="0"/>
          <w:bCs/>
          <w:color w:val="auto"/>
          <w:sz w:val="21"/>
          <w:szCs w:val="21"/>
          <w:highlight w:val="none"/>
        </w:rPr>
      </w:pPr>
      <w:bookmarkStart w:id="60" w:name="_Toc54862354"/>
      <w:bookmarkStart w:id="61" w:name="_Toc20171895"/>
      <w:r>
        <w:rPr>
          <w:rFonts w:hint="eastAsia" w:ascii="宋体" w:hAnsi="宋体" w:eastAsia="宋体"/>
          <w:b w:val="0"/>
          <w:bCs/>
          <w:color w:val="auto"/>
          <w:sz w:val="21"/>
          <w:szCs w:val="21"/>
          <w:highlight w:val="none"/>
        </w:rPr>
        <w:t>附件</w:t>
      </w:r>
      <w:r>
        <w:rPr>
          <w:rFonts w:ascii="宋体" w:hAnsi="宋体" w:eastAsia="宋体"/>
          <w:b w:val="0"/>
          <w:bCs/>
          <w:color w:val="auto"/>
          <w:sz w:val="21"/>
          <w:szCs w:val="21"/>
          <w:highlight w:val="none"/>
        </w:rPr>
        <w:t>1</w:t>
      </w:r>
      <w:r>
        <w:rPr>
          <w:rFonts w:hint="eastAsia" w:ascii="宋体" w:hAnsi="宋体" w:eastAsia="宋体"/>
          <w:b w:val="0"/>
          <w:bCs/>
          <w:color w:val="auto"/>
          <w:sz w:val="21"/>
          <w:szCs w:val="21"/>
          <w:highlight w:val="none"/>
        </w:rPr>
        <w:t>：</w:t>
      </w:r>
      <w:r>
        <w:rPr>
          <w:rFonts w:ascii="宋体" w:hAnsi="宋体" w:eastAsia="宋体"/>
          <w:b w:val="0"/>
          <w:bCs/>
          <w:color w:val="auto"/>
          <w:sz w:val="21"/>
          <w:szCs w:val="21"/>
          <w:highlight w:val="none"/>
        </w:rPr>
        <w:t xml:space="preserve"> </w:t>
      </w:r>
    </w:p>
    <w:p>
      <w:pPr>
        <w:pStyle w:val="255"/>
        <w:numPr>
          <w:ilvl w:val="0"/>
          <w:numId w:val="0"/>
        </w:numPr>
        <w:wordWrap/>
        <w:spacing w:after="120" w:line="312" w:lineRule="auto"/>
        <w:outlineLvl w:val="9"/>
        <w:rPr>
          <w:rFonts w:ascii="宋体" w:hAnsi="宋体" w:eastAsia="宋体"/>
          <w:color w:val="auto"/>
          <w:sz w:val="21"/>
          <w:szCs w:val="21"/>
          <w:highlight w:val="none"/>
        </w:rPr>
      </w:pPr>
      <w:r>
        <w:rPr>
          <w:rFonts w:ascii="宋体" w:hAnsi="宋体" w:eastAsia="宋体" w:cs="黑体"/>
          <w:bCs/>
          <w:color w:val="auto"/>
          <w:kern w:val="2"/>
          <w:sz w:val="32"/>
          <w:szCs w:val="32"/>
          <w:highlight w:val="none"/>
        </w:rPr>
        <w:t>工程质量保修书</w:t>
      </w:r>
      <w:bookmarkEnd w:id="60"/>
      <w:bookmarkEnd w:id="61"/>
    </w:p>
    <w:p>
      <w:pPr>
        <w:spacing w:line="360" w:lineRule="auto"/>
        <w:rPr>
          <w:rFonts w:ascii="宋体" w:hAnsi="宋体"/>
          <w:color w:val="auto"/>
          <w:szCs w:val="21"/>
          <w:highlight w:val="none"/>
        </w:rPr>
      </w:pPr>
      <w:r>
        <w:rPr>
          <w:rFonts w:hint="eastAsia" w:ascii="宋体" w:hAnsi="宋体"/>
          <w:b/>
          <w:color w:val="auto"/>
          <w:szCs w:val="21"/>
          <w:highlight w:val="none"/>
        </w:rPr>
        <w:t>甲方</w:t>
      </w:r>
      <w:r>
        <w:rPr>
          <w:rFonts w:hint="eastAsia" w:ascii="宋体" w:hAnsi="宋体"/>
          <w:color w:val="auto"/>
          <w:szCs w:val="21"/>
          <w:highlight w:val="none"/>
        </w:rPr>
        <w:t>（业主单位）：</w:t>
      </w:r>
      <w:r>
        <w:rPr>
          <w:rFonts w:hint="eastAsia" w:ascii="宋体" w:hAnsi="宋体"/>
          <w:b/>
          <w:bCs/>
          <w:color w:val="auto"/>
          <w:highlight w:val="none"/>
          <w:u w:val="single"/>
        </w:rPr>
        <w:t xml:space="preserve"> </w:t>
      </w:r>
      <w:r>
        <w:rPr>
          <w:rFonts w:ascii="宋体" w:hAnsi="宋体"/>
          <w:b/>
          <w:bCs/>
          <w:color w:val="auto"/>
          <w:highlight w:val="none"/>
          <w:u w:val="single"/>
        </w:rPr>
        <w:t xml:space="preserve">                        </w:t>
      </w:r>
    </w:p>
    <w:p>
      <w:pPr>
        <w:spacing w:line="360" w:lineRule="auto"/>
        <w:rPr>
          <w:rFonts w:ascii="宋体" w:hAnsi="宋体"/>
          <w:color w:val="auto"/>
          <w:szCs w:val="21"/>
          <w:highlight w:val="none"/>
        </w:rPr>
      </w:pPr>
      <w:r>
        <w:rPr>
          <w:rFonts w:hint="eastAsia" w:ascii="宋体" w:hAnsi="宋体"/>
          <w:b/>
          <w:color w:val="auto"/>
          <w:szCs w:val="21"/>
          <w:highlight w:val="none"/>
        </w:rPr>
        <w:t>乙方</w:t>
      </w:r>
      <w:r>
        <w:rPr>
          <w:rFonts w:hint="eastAsia" w:ascii="宋体" w:hAnsi="宋体"/>
          <w:color w:val="auto"/>
          <w:szCs w:val="21"/>
          <w:highlight w:val="none"/>
        </w:rPr>
        <w:t>（中标单位）：</w:t>
      </w:r>
      <w:r>
        <w:rPr>
          <w:rFonts w:hint="eastAsia" w:ascii="宋体" w:hAnsi="宋体"/>
          <w:b/>
          <w:bCs/>
          <w:color w:val="auto"/>
          <w:highlight w:val="none"/>
          <w:u w:val="single"/>
        </w:rPr>
        <w:t xml:space="preserve"> </w:t>
      </w:r>
      <w:r>
        <w:rPr>
          <w:rFonts w:ascii="宋体" w:hAnsi="宋体"/>
          <w:b/>
          <w:bCs/>
          <w:color w:val="auto"/>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　　发包人和承包人根据《中华人民共和国建筑法》和《建设工程质量管理条例》，经协商一致就</w:t>
      </w:r>
      <w:r>
        <w:rPr>
          <w:rFonts w:hint="eastAsia"/>
          <w:color w:val="auto"/>
          <w:highlight w:val="none"/>
          <w:u w:val="single"/>
        </w:rPr>
        <w:t xml:space="preserve">                        </w:t>
      </w:r>
      <w:r>
        <w:rPr>
          <w:rFonts w:ascii="宋体" w:hAnsi="宋体"/>
          <w:color w:val="auto"/>
          <w:szCs w:val="21"/>
          <w:highlight w:val="none"/>
        </w:rPr>
        <w:t>（工程全称）签订工程质量保修书。</w:t>
      </w:r>
    </w:p>
    <w:p>
      <w:pPr>
        <w:spacing w:line="360" w:lineRule="auto"/>
        <w:rPr>
          <w:rFonts w:ascii="宋体" w:hAnsi="宋体"/>
          <w:color w:val="auto"/>
          <w:szCs w:val="21"/>
          <w:highlight w:val="none"/>
        </w:rPr>
      </w:pPr>
      <w:r>
        <w:rPr>
          <w:rFonts w:ascii="宋体" w:hAnsi="宋体"/>
          <w:color w:val="auto"/>
          <w:szCs w:val="21"/>
          <w:highlight w:val="none"/>
        </w:rPr>
        <w:t>　　一、工程质量保修范围和内容</w:t>
      </w:r>
    </w:p>
    <w:p>
      <w:pPr>
        <w:spacing w:line="360" w:lineRule="auto"/>
        <w:rPr>
          <w:rFonts w:ascii="宋体" w:hAnsi="宋体"/>
          <w:color w:val="auto"/>
          <w:szCs w:val="21"/>
          <w:highlight w:val="none"/>
        </w:rPr>
      </w:pPr>
      <w:r>
        <w:rPr>
          <w:rFonts w:ascii="宋体" w:hAnsi="宋体"/>
          <w:color w:val="auto"/>
          <w:szCs w:val="21"/>
          <w:highlight w:val="none"/>
        </w:rPr>
        <w:t>　　承包人在质量保修期内，按照有关法律规定和合同约定，承担工程质量保修责任。</w:t>
      </w:r>
    </w:p>
    <w:p>
      <w:pPr>
        <w:spacing w:line="360" w:lineRule="auto"/>
        <w:rPr>
          <w:rFonts w:ascii="宋体" w:hAnsi="宋体"/>
          <w:color w:val="auto"/>
          <w:szCs w:val="21"/>
          <w:highlight w:val="none"/>
        </w:rPr>
      </w:pPr>
      <w:r>
        <w:rPr>
          <w:rFonts w:ascii="宋体" w:hAnsi="宋体"/>
          <w:color w:val="auto"/>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color w:val="auto"/>
          <w:szCs w:val="21"/>
          <w:highlight w:val="none"/>
          <w:u w:val="single"/>
        </w:rPr>
        <w:t xml:space="preserve">    </w:t>
      </w:r>
      <w:r>
        <w:rPr>
          <w:rFonts w:hint="eastAsia" w:ascii="宋体" w:hAnsi="宋体"/>
          <w:color w:val="auto"/>
          <w:szCs w:val="21"/>
          <w:highlight w:val="none"/>
          <w:u w:val="single"/>
        </w:rPr>
        <w:t>按国家有关规定</w:t>
      </w:r>
      <w:r>
        <w:rPr>
          <w:rFonts w:ascii="宋体" w:hAnsi="宋体"/>
          <w:color w:val="auto"/>
          <w:szCs w:val="21"/>
          <w:highlight w:val="none"/>
          <w:u w:val="single"/>
        </w:rPr>
        <w:t xml:space="preserve">     </w:t>
      </w:r>
      <w:r>
        <w:rPr>
          <w:rFonts w:ascii="宋体" w:hAnsi="宋体"/>
          <w:color w:val="auto"/>
          <w:szCs w:val="21"/>
          <w:highlight w:val="none"/>
        </w:rPr>
        <w:t>。</w:t>
      </w:r>
    </w:p>
    <w:p>
      <w:pPr>
        <w:spacing w:line="360" w:lineRule="auto"/>
        <w:rPr>
          <w:rFonts w:ascii="宋体" w:hAnsi="宋体"/>
          <w:color w:val="auto"/>
          <w:szCs w:val="21"/>
          <w:highlight w:val="none"/>
        </w:rPr>
      </w:pPr>
      <w:r>
        <w:rPr>
          <w:rFonts w:ascii="宋体" w:hAnsi="宋体"/>
          <w:b/>
          <w:color w:val="auto"/>
          <w:szCs w:val="21"/>
          <w:highlight w:val="none"/>
        </w:rPr>
        <w:t>　　</w:t>
      </w:r>
      <w:r>
        <w:rPr>
          <w:rFonts w:ascii="宋体" w:hAnsi="宋体"/>
          <w:color w:val="auto"/>
          <w:szCs w:val="21"/>
          <w:highlight w:val="none"/>
        </w:rPr>
        <w:t>二、质量保修期</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根据《建设工程质量管理条例》及有关规定，工程的质量保修期如下：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1．基础工程和主体结构工程为设计文件规定的工程合理使用年限；</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2．太阳能光伏组件为</w:t>
      </w:r>
      <w:r>
        <w:rPr>
          <w:rFonts w:hint="eastAsia" w:ascii="宋体" w:hAnsi="宋体"/>
          <w:color w:val="auto"/>
          <w:szCs w:val="21"/>
          <w:highlight w:val="none"/>
          <w:u w:val="single"/>
        </w:rPr>
        <w:t xml:space="preserve"> </w:t>
      </w:r>
      <w:r>
        <w:rPr>
          <w:rFonts w:ascii="宋体" w:hAnsi="宋体"/>
          <w:color w:val="auto"/>
          <w:szCs w:val="21"/>
          <w:highlight w:val="none"/>
          <w:u w:val="single"/>
        </w:rPr>
        <w:t>10</w:t>
      </w:r>
      <w:r>
        <w:rPr>
          <w:rFonts w:hint="eastAsia" w:ascii="宋体" w:hAnsi="宋体"/>
          <w:color w:val="auto"/>
          <w:szCs w:val="21"/>
          <w:highlight w:val="none"/>
          <w:u w:val="single"/>
        </w:rPr>
        <w:t xml:space="preserve"> </w:t>
      </w:r>
      <w:r>
        <w:rPr>
          <w:rFonts w:ascii="宋体" w:hAnsi="宋体"/>
          <w:color w:val="auto"/>
          <w:szCs w:val="21"/>
          <w:highlight w:val="none"/>
        </w:rPr>
        <w:t>年；</w:t>
      </w:r>
    </w:p>
    <w:p>
      <w:pPr>
        <w:numPr>
          <w:ilvl w:val="0"/>
          <w:numId w:val="18"/>
        </w:numPr>
        <w:spacing w:line="360" w:lineRule="auto"/>
        <w:ind w:left="420" w:leftChars="200" w:firstLine="105" w:firstLineChars="50"/>
        <w:rPr>
          <w:rFonts w:ascii="宋体" w:hAnsi="宋体"/>
          <w:color w:val="auto"/>
          <w:szCs w:val="21"/>
          <w:highlight w:val="none"/>
        </w:rPr>
      </w:pPr>
      <w:r>
        <w:rPr>
          <w:rFonts w:hint="eastAsia" w:ascii="宋体" w:hAnsi="宋体"/>
          <w:color w:val="auto"/>
          <w:szCs w:val="21"/>
          <w:highlight w:val="none"/>
        </w:rPr>
        <w:t>并网逆变器</w:t>
      </w:r>
      <w:r>
        <w:rPr>
          <w:rFonts w:ascii="宋体" w:hAnsi="宋体"/>
          <w:color w:val="auto"/>
          <w:szCs w:val="21"/>
          <w:highlight w:val="none"/>
        </w:rPr>
        <w:t>为</w:t>
      </w:r>
      <w:r>
        <w:rPr>
          <w:rFonts w:ascii="宋体" w:hAnsi="宋体"/>
          <w:color w:val="auto"/>
          <w:szCs w:val="21"/>
          <w:highlight w:val="none"/>
          <w:u w:val="single"/>
        </w:rPr>
        <w:t xml:space="preserve">  </w:t>
      </w:r>
      <w:r>
        <w:rPr>
          <w:rFonts w:hint="eastAsia" w:ascii="宋体" w:hAnsi="宋体"/>
          <w:color w:val="auto"/>
          <w:szCs w:val="21"/>
          <w:highlight w:val="none"/>
          <w:u w:val="single"/>
        </w:rPr>
        <w:t>5</w:t>
      </w:r>
      <w:r>
        <w:rPr>
          <w:rFonts w:ascii="宋体" w:hAnsi="宋体"/>
          <w:color w:val="auto"/>
          <w:szCs w:val="21"/>
          <w:highlight w:val="none"/>
          <w:u w:val="single"/>
        </w:rPr>
        <w:t xml:space="preserve">  </w:t>
      </w:r>
      <w:r>
        <w:rPr>
          <w:rFonts w:ascii="宋体" w:hAnsi="宋体"/>
          <w:color w:val="auto"/>
          <w:szCs w:val="21"/>
          <w:highlight w:val="none"/>
        </w:rPr>
        <w:t>年；</w:t>
      </w:r>
    </w:p>
    <w:p>
      <w:pPr>
        <w:numPr>
          <w:ilvl w:val="0"/>
          <w:numId w:val="18"/>
        </w:numPr>
        <w:spacing w:line="360" w:lineRule="auto"/>
        <w:ind w:left="420" w:leftChars="200" w:firstLine="105" w:firstLineChars="50"/>
        <w:rPr>
          <w:rFonts w:ascii="宋体" w:hAnsi="宋体"/>
          <w:color w:val="auto"/>
          <w:szCs w:val="21"/>
          <w:highlight w:val="none"/>
        </w:rPr>
      </w:pPr>
      <w:r>
        <w:rPr>
          <w:rFonts w:hint="eastAsia" w:ascii="宋体" w:hAnsi="宋体"/>
          <w:color w:val="auto"/>
          <w:szCs w:val="21"/>
          <w:highlight w:val="none"/>
        </w:rPr>
        <w:t>组件支架</w:t>
      </w:r>
      <w:r>
        <w:rPr>
          <w:rFonts w:ascii="宋体" w:hAnsi="宋体"/>
          <w:color w:val="auto"/>
          <w:szCs w:val="21"/>
          <w:highlight w:val="none"/>
        </w:rPr>
        <w:t>为</w:t>
      </w:r>
      <w:r>
        <w:rPr>
          <w:rFonts w:ascii="宋体" w:hAnsi="宋体"/>
          <w:color w:val="auto"/>
          <w:szCs w:val="21"/>
          <w:highlight w:val="none"/>
          <w:u w:val="single"/>
        </w:rPr>
        <w:t xml:space="preserve">  </w:t>
      </w:r>
      <w:r>
        <w:rPr>
          <w:rFonts w:hint="eastAsia" w:ascii="宋体" w:hAnsi="宋体"/>
          <w:color w:val="auto"/>
          <w:szCs w:val="21"/>
          <w:highlight w:val="none"/>
          <w:u w:val="single"/>
        </w:rPr>
        <w:t>10</w:t>
      </w:r>
      <w:r>
        <w:rPr>
          <w:rFonts w:ascii="宋体" w:hAnsi="宋体"/>
          <w:color w:val="auto"/>
          <w:szCs w:val="21"/>
          <w:highlight w:val="none"/>
          <w:u w:val="single"/>
        </w:rPr>
        <w:t xml:space="preserve">  </w:t>
      </w:r>
      <w:r>
        <w:rPr>
          <w:rFonts w:ascii="宋体" w:hAnsi="宋体"/>
          <w:color w:val="auto"/>
          <w:szCs w:val="21"/>
          <w:highlight w:val="none"/>
        </w:rPr>
        <w:t>年；</w:t>
      </w:r>
    </w:p>
    <w:p>
      <w:pPr>
        <w:spacing w:line="360" w:lineRule="auto"/>
        <w:ind w:left="420" w:leftChars="200" w:firstLine="105" w:firstLineChars="5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电气管线、设备安装工程为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3</w:t>
      </w:r>
      <w:r>
        <w:rPr>
          <w:rFonts w:ascii="宋体" w:hAnsi="宋体"/>
          <w:color w:val="auto"/>
          <w:szCs w:val="21"/>
          <w:highlight w:val="none"/>
          <w:u w:val="single"/>
        </w:rPr>
        <w:t xml:space="preserve"> </w:t>
      </w:r>
      <w:r>
        <w:rPr>
          <w:rFonts w:ascii="宋体" w:hAnsi="宋体"/>
          <w:color w:val="auto"/>
          <w:szCs w:val="21"/>
          <w:highlight w:val="none"/>
        </w:rPr>
        <w:t>年；</w:t>
      </w:r>
    </w:p>
    <w:p>
      <w:pPr>
        <w:spacing w:line="360" w:lineRule="auto"/>
        <w:ind w:left="420" w:leftChars="200" w:firstLine="105" w:firstLineChars="50"/>
        <w:rPr>
          <w:rFonts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其他项目保修期限约定如下：</w:t>
      </w:r>
      <w:r>
        <w:rPr>
          <w:rFonts w:hint="eastAsia" w:ascii="宋体" w:hAnsi="宋体"/>
          <w:color w:val="auto"/>
          <w:szCs w:val="21"/>
          <w:highlight w:val="none"/>
          <w:u w:val="single"/>
        </w:rPr>
        <w:t>未明确部分工程保修期按三年计</w:t>
      </w:r>
      <w:r>
        <w:rPr>
          <w:rFonts w:ascii="宋体" w:hAnsi="宋体"/>
          <w:color w:val="auto"/>
          <w:szCs w:val="21"/>
          <w:highlight w:val="none"/>
        </w:rPr>
        <w:t>。</w:t>
      </w:r>
    </w:p>
    <w:p>
      <w:pPr>
        <w:spacing w:line="360" w:lineRule="auto"/>
        <w:rPr>
          <w:rFonts w:ascii="宋体" w:hAnsi="宋体"/>
          <w:color w:val="auto"/>
          <w:szCs w:val="21"/>
          <w:highlight w:val="none"/>
        </w:rPr>
      </w:pPr>
      <w:r>
        <w:rPr>
          <w:rFonts w:ascii="宋体" w:hAnsi="宋体"/>
          <w:color w:val="auto"/>
          <w:szCs w:val="21"/>
          <w:highlight w:val="none"/>
        </w:rPr>
        <w:t>　　质量保修期自工程竣工验收合格之日起计算。</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三、缺陷责任期</w:t>
      </w:r>
    </w:p>
    <w:p>
      <w:pPr>
        <w:spacing w:line="360" w:lineRule="auto"/>
        <w:ind w:firstLine="420" w:firstLineChars="200"/>
        <w:rPr>
          <w:rFonts w:ascii="宋体" w:hAnsi="宋体"/>
          <w:b/>
          <w:color w:val="auto"/>
          <w:szCs w:val="21"/>
          <w:highlight w:val="none"/>
        </w:rPr>
      </w:pPr>
      <w:r>
        <w:rPr>
          <w:rFonts w:ascii="宋体" w:hAnsi="宋体"/>
          <w:color w:val="auto"/>
          <w:szCs w:val="21"/>
          <w:highlight w:val="none"/>
        </w:rPr>
        <w:t>工程缺陷责任期为</w:t>
      </w:r>
      <w:r>
        <w:rPr>
          <w:rFonts w:ascii="宋体" w:hAnsi="宋体"/>
          <w:b/>
          <w:color w:val="auto"/>
          <w:szCs w:val="21"/>
          <w:highlight w:val="none"/>
          <w:u w:val="single"/>
        </w:rPr>
        <w:t xml:space="preserve"> </w:t>
      </w:r>
      <w:r>
        <w:rPr>
          <w:rFonts w:hint="eastAsia" w:ascii="宋体" w:hAnsi="宋体"/>
          <w:b/>
          <w:color w:val="auto"/>
          <w:szCs w:val="21"/>
          <w:highlight w:val="none"/>
          <w:u w:val="single"/>
        </w:rPr>
        <w:t>36</w:t>
      </w:r>
      <w:r>
        <w:rPr>
          <w:rFonts w:ascii="宋体" w:hAnsi="宋体"/>
          <w:b/>
          <w:color w:val="auto"/>
          <w:szCs w:val="21"/>
          <w:highlight w:val="none"/>
          <w:u w:val="single"/>
        </w:rPr>
        <w:t xml:space="preserve"> </w:t>
      </w:r>
      <w:r>
        <w:rPr>
          <w:rFonts w:ascii="宋体" w:hAnsi="宋体"/>
          <w:color w:val="auto"/>
          <w:szCs w:val="21"/>
          <w:highlight w:val="none"/>
        </w:rPr>
        <w:t>个月，缺陷责任期自工程竣工验收合格</w:t>
      </w:r>
      <w:r>
        <w:rPr>
          <w:rFonts w:hint="eastAsia" w:ascii="宋体" w:hAnsi="宋体"/>
          <w:color w:val="auto"/>
          <w:szCs w:val="21"/>
          <w:highlight w:val="none"/>
        </w:rPr>
        <w:t>，并网发电</w:t>
      </w:r>
      <w:r>
        <w:rPr>
          <w:rFonts w:ascii="宋体" w:hAnsi="宋体"/>
          <w:color w:val="auto"/>
          <w:szCs w:val="21"/>
          <w:highlight w:val="none"/>
        </w:rPr>
        <w:t>之日起计算。缺陷责任期终止后，发包人应退还剩余的质量保证金。</w:t>
      </w:r>
      <w:r>
        <w:rPr>
          <w:rFonts w:hint="eastAsia" w:ascii="宋体" w:hAnsi="宋体"/>
          <w:b/>
          <w:color w:val="auto"/>
          <w:szCs w:val="21"/>
          <w:highlight w:val="none"/>
        </w:rPr>
        <w:t>太阳能光伏组件、并网逆变器、组件支架等主要部件质保期长于整体</w:t>
      </w:r>
      <w:r>
        <w:rPr>
          <w:rFonts w:ascii="宋体" w:hAnsi="宋体"/>
          <w:b/>
          <w:color w:val="auto"/>
          <w:szCs w:val="21"/>
          <w:highlight w:val="none"/>
        </w:rPr>
        <w:t>工程缺陷责任期</w:t>
      </w:r>
      <w:r>
        <w:rPr>
          <w:rFonts w:hint="eastAsia" w:ascii="宋体" w:hAnsi="宋体"/>
          <w:b/>
          <w:color w:val="auto"/>
          <w:szCs w:val="21"/>
          <w:highlight w:val="none"/>
        </w:rPr>
        <w:t>，</w:t>
      </w:r>
      <w:r>
        <w:rPr>
          <w:rFonts w:ascii="宋体" w:hAnsi="宋体"/>
          <w:b/>
          <w:color w:val="auto"/>
          <w:szCs w:val="21"/>
          <w:highlight w:val="none"/>
        </w:rPr>
        <w:t>缺陷责任期</w:t>
      </w:r>
      <w:r>
        <w:rPr>
          <w:rFonts w:hint="eastAsia" w:ascii="宋体" w:hAnsi="宋体"/>
          <w:b/>
          <w:color w:val="auto"/>
          <w:szCs w:val="21"/>
          <w:highlight w:val="none"/>
        </w:rPr>
        <w:t>满后，乙方任对上述部件负有保修责任（质保期36个月）。</w:t>
      </w:r>
    </w:p>
    <w:p>
      <w:pPr>
        <w:spacing w:line="360" w:lineRule="auto"/>
        <w:rPr>
          <w:rFonts w:ascii="宋体" w:hAnsi="宋体"/>
          <w:color w:val="auto"/>
          <w:szCs w:val="21"/>
          <w:highlight w:val="none"/>
        </w:rPr>
      </w:pPr>
      <w:r>
        <w:rPr>
          <w:rFonts w:ascii="宋体" w:hAnsi="宋体"/>
          <w:color w:val="auto"/>
          <w:szCs w:val="21"/>
          <w:highlight w:val="none"/>
        </w:rPr>
        <w:t xml:space="preserve">    四、质量保修责任</w:t>
      </w:r>
    </w:p>
    <w:p>
      <w:pPr>
        <w:spacing w:line="360" w:lineRule="auto"/>
        <w:ind w:left="105" w:leftChars="50" w:firstLine="430" w:firstLineChars="205"/>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属于保修范围、内容的项目，承包人应当在接到保修通知之日起</w:t>
      </w:r>
      <w:r>
        <w:rPr>
          <w:rFonts w:hint="eastAsia" w:ascii="宋体" w:hAnsi="宋体"/>
          <w:color w:val="auto"/>
          <w:szCs w:val="21"/>
          <w:highlight w:val="none"/>
        </w:rPr>
        <w:t>24小时</w:t>
      </w:r>
      <w:r>
        <w:rPr>
          <w:rFonts w:ascii="宋体" w:hAnsi="宋体"/>
          <w:color w:val="auto"/>
          <w:szCs w:val="21"/>
          <w:highlight w:val="none"/>
        </w:rPr>
        <w:t>内派人保修。承包人不在约定期限内派人保修的，发包人可以委托他人修理。</w:t>
      </w:r>
    </w:p>
    <w:p>
      <w:pPr>
        <w:spacing w:line="360" w:lineRule="auto"/>
        <w:ind w:left="105" w:leftChars="50" w:firstLine="430" w:firstLineChars="20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发生紧急事故需抢修的，承包人在接到事故通知后，应当立即到达事故现场抢修。</w:t>
      </w:r>
    </w:p>
    <w:p>
      <w:pPr>
        <w:spacing w:line="360" w:lineRule="auto"/>
        <w:ind w:left="105" w:leftChars="50" w:firstLine="430" w:firstLineChars="205"/>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05" w:firstLineChars="5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质量保修完成后，由发包人组织验收。</w:t>
      </w:r>
    </w:p>
    <w:p>
      <w:pPr>
        <w:spacing w:line="360" w:lineRule="auto"/>
        <w:rPr>
          <w:rFonts w:ascii="宋体" w:hAnsi="宋体"/>
          <w:color w:val="auto"/>
          <w:szCs w:val="21"/>
          <w:highlight w:val="none"/>
        </w:rPr>
      </w:pPr>
      <w:r>
        <w:rPr>
          <w:rFonts w:ascii="宋体" w:hAnsi="宋体"/>
          <w:color w:val="auto"/>
          <w:szCs w:val="21"/>
          <w:highlight w:val="none"/>
        </w:rPr>
        <w:t>　　五、保修费用</w:t>
      </w:r>
    </w:p>
    <w:p>
      <w:pPr>
        <w:spacing w:line="360" w:lineRule="auto"/>
        <w:rPr>
          <w:rFonts w:ascii="宋体" w:hAnsi="宋体"/>
          <w:color w:val="auto"/>
          <w:szCs w:val="21"/>
          <w:highlight w:val="none"/>
        </w:rPr>
      </w:pPr>
      <w:r>
        <w:rPr>
          <w:rFonts w:ascii="宋体" w:hAnsi="宋体"/>
          <w:color w:val="auto"/>
          <w:szCs w:val="21"/>
          <w:highlight w:val="none"/>
        </w:rPr>
        <w:t>　　保修费用由造成质量缺陷的责任方承担。</w:t>
      </w:r>
    </w:p>
    <w:p>
      <w:pPr>
        <w:spacing w:line="360" w:lineRule="auto"/>
        <w:ind w:firstLine="411" w:firstLineChars="196"/>
        <w:jc w:val="left"/>
        <w:rPr>
          <w:rFonts w:ascii="宋体" w:hAnsi="宋体"/>
          <w:color w:val="auto"/>
          <w:szCs w:val="21"/>
          <w:highlight w:val="none"/>
        </w:rPr>
      </w:pPr>
      <w:r>
        <w:rPr>
          <w:rFonts w:ascii="宋体" w:hAnsi="宋体"/>
          <w:color w:val="auto"/>
          <w:szCs w:val="21"/>
          <w:highlight w:val="none"/>
        </w:rPr>
        <w:t>六、双方约定的其他工程质量保修事项：</w:t>
      </w:r>
      <w:r>
        <w:rPr>
          <w:rFonts w:hint="eastAsia" w:ascii="宋体" w:hAnsi="宋体"/>
          <w:color w:val="auto"/>
          <w:szCs w:val="21"/>
          <w:highlight w:val="none"/>
          <w:u w:val="single"/>
        </w:rPr>
        <w:t>由于承包方原因造成质量问题一切由承包方负责，并承担费用</w:t>
      </w:r>
      <w:r>
        <w:rPr>
          <w:rFonts w:ascii="宋体" w:hAnsi="宋体"/>
          <w:color w:val="auto"/>
          <w:szCs w:val="21"/>
          <w:highlight w:val="none"/>
        </w:rPr>
        <w:t>。</w:t>
      </w:r>
    </w:p>
    <w:p>
      <w:pPr>
        <w:spacing w:line="360" w:lineRule="auto"/>
        <w:ind w:firstLine="399" w:firstLineChars="190"/>
        <w:rPr>
          <w:rFonts w:ascii="宋体" w:hAnsi="宋体"/>
          <w:color w:val="auto"/>
          <w:szCs w:val="21"/>
          <w:highlight w:val="none"/>
        </w:rPr>
      </w:pPr>
      <w:r>
        <w:rPr>
          <w:rFonts w:ascii="宋体" w:hAnsi="宋体"/>
          <w:color w:val="auto"/>
          <w:szCs w:val="21"/>
          <w:highlight w:val="none"/>
        </w:rPr>
        <w:t>工程质量保修书由发包人、承包人在工程竣工验收前共同签署，作为施工合同附件。</w:t>
      </w:r>
    </w:p>
    <w:p>
      <w:pPr>
        <w:spacing w:line="360" w:lineRule="auto"/>
        <w:ind w:firstLine="420"/>
        <w:rPr>
          <w:rFonts w:ascii="宋体" w:hAnsi="宋体"/>
          <w:color w:val="auto"/>
          <w:szCs w:val="21"/>
          <w:highlight w:val="none"/>
        </w:rPr>
      </w:pPr>
    </w:p>
    <w:p>
      <w:pPr>
        <w:spacing w:line="360" w:lineRule="auto"/>
        <w:ind w:firstLine="420"/>
        <w:rPr>
          <w:rFonts w:ascii="宋体" w:hAnsi="宋体"/>
          <w:color w:val="auto"/>
          <w:szCs w:val="21"/>
          <w:highlight w:val="none"/>
        </w:rPr>
      </w:pPr>
    </w:p>
    <w:p>
      <w:pPr>
        <w:spacing w:line="360" w:lineRule="auto"/>
        <w:rPr>
          <w:rFonts w:ascii="宋体" w:hAnsi="宋体"/>
          <w:color w:val="auto"/>
          <w:szCs w:val="21"/>
          <w:highlight w:val="none"/>
        </w:rPr>
      </w:pPr>
      <w:r>
        <w:rPr>
          <w:rFonts w:ascii="宋体" w:hAnsi="宋体"/>
          <w:color w:val="auto"/>
          <w:szCs w:val="21"/>
          <w:highlight w:val="none"/>
        </w:rPr>
        <w:t>发包人(公章)：</w:t>
      </w:r>
      <w:r>
        <w:rPr>
          <w:rFonts w:ascii="宋体" w:hAnsi="宋体"/>
          <w:color w:val="auto"/>
          <w:szCs w:val="21"/>
          <w:highlight w:val="none"/>
          <w:u w:val="single"/>
        </w:rPr>
        <w:t xml:space="preserve"> </w:t>
      </w:r>
      <w:r>
        <w:rPr>
          <w:rFonts w:hint="eastAsia" w:ascii="宋体" w:hAnsi="宋体" w:cs="宋体"/>
          <w:color w:val="auto"/>
          <w:szCs w:val="21"/>
          <w:highlight w:val="none"/>
          <w:u w:val="single"/>
        </w:rPr>
        <w:t xml:space="preserve"> 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承包人(公章)：</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地  址：</w:t>
      </w:r>
      <w:r>
        <w:rPr>
          <w:rFonts w:ascii="宋体" w:hAnsi="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地  址：</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法定代表人(签字)：</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法定代表人(签字)：</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委托代理人(签字)：</w:t>
      </w:r>
      <w:r>
        <w:rPr>
          <w:rFonts w:hint="eastAsia" w:ascii="宋体" w:hAnsi="宋体" w:cs="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委托代理人(签字)：</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电  话：</w:t>
      </w:r>
      <w:r>
        <w:rPr>
          <w:rFonts w:hint="eastAsia" w:ascii="宋体" w:hAnsi="宋体" w:cs="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电  话：</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传  真：</w:t>
      </w:r>
      <w:r>
        <w:rPr>
          <w:rFonts w:hint="eastAsia" w:ascii="宋体" w:hAnsi="宋体" w:cs="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传  真：</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开户银行：</w:t>
      </w:r>
      <w:r>
        <w:rPr>
          <w:rFonts w:hint="eastAsia" w:ascii="宋体" w:hAnsi="宋体" w:cs="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开户银行：</w:t>
      </w:r>
      <w:r>
        <w:rPr>
          <w:rFonts w:hint="eastAsia" w:ascii="宋体" w:hAnsi="宋体" w:cs="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账  号：</w:t>
      </w:r>
      <w:r>
        <w:rPr>
          <w:rFonts w:hint="eastAsia" w:ascii="宋体" w:hAnsi="宋体" w:cs="宋体"/>
          <w:color w:val="auto"/>
          <w:szCs w:val="21"/>
          <w:highlight w:val="none"/>
          <w:u w:val="single"/>
        </w:rPr>
        <w:t xml:space="preserve">       </w:t>
      </w:r>
      <w:r>
        <w:rPr>
          <w:rFonts w:hint="eastAsia" w:ascii="宋体" w:hAnsi="宋体"/>
          <w:color w:val="auto"/>
          <w:szCs w:val="21"/>
          <w:highlight w:val="none"/>
        </w:rPr>
        <w:t xml:space="preserve">        </w:t>
      </w:r>
      <w:r>
        <w:rPr>
          <w:rFonts w:ascii="宋体" w:hAnsi="宋体"/>
          <w:color w:val="auto"/>
          <w:szCs w:val="21"/>
          <w:highlight w:val="none"/>
        </w:rPr>
        <w:t>账</w:t>
      </w:r>
      <w:r>
        <w:rPr>
          <w:rFonts w:hint="eastAsia" w:ascii="宋体" w:hAnsi="宋体"/>
          <w:color w:val="auto"/>
          <w:szCs w:val="21"/>
          <w:highlight w:val="none"/>
        </w:rPr>
        <w:t xml:space="preserve"> </w:t>
      </w:r>
      <w:r>
        <w:rPr>
          <w:rFonts w:ascii="宋体" w:hAnsi="宋体"/>
          <w:color w:val="auto"/>
          <w:szCs w:val="21"/>
          <w:highlight w:val="none"/>
        </w:rPr>
        <w:t xml:space="preserve"> 号：</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u w:val="single"/>
        </w:rPr>
      </w:pPr>
      <w:r>
        <w:rPr>
          <w:rFonts w:ascii="宋体" w:hAnsi="宋体"/>
          <w:color w:val="auto"/>
          <w:szCs w:val="21"/>
          <w:highlight w:val="none"/>
        </w:rPr>
        <w:t>邮政编码：</w:t>
      </w:r>
      <w:r>
        <w:rPr>
          <w:rFonts w:ascii="宋体" w:hAnsi="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12" w:lineRule="auto"/>
        <w:jc w:val="left"/>
        <w:rPr>
          <w:rFonts w:ascii="宋体" w:hAnsi="宋体"/>
          <w:b/>
          <w:bCs/>
          <w:color w:val="auto"/>
          <w:szCs w:val="21"/>
          <w:highlight w:val="none"/>
        </w:rPr>
      </w:pPr>
      <w:r>
        <w:rPr>
          <w:color w:val="auto"/>
          <w:szCs w:val="21"/>
          <w:highlight w:val="none"/>
        </w:rPr>
        <w:br w:type="page"/>
      </w:r>
      <w:bookmarkStart w:id="62" w:name="_Toc54862355"/>
      <w:bookmarkStart w:id="63" w:name="_Toc20171896"/>
      <w:r>
        <w:rPr>
          <w:rFonts w:hint="eastAsia" w:ascii="宋体" w:hAnsi="宋体"/>
          <w:b/>
          <w:bCs/>
          <w:color w:val="auto"/>
          <w:szCs w:val="21"/>
          <w:highlight w:val="none"/>
        </w:rPr>
        <w:t>附件</w:t>
      </w:r>
      <w:r>
        <w:rPr>
          <w:rFonts w:ascii="宋体" w:hAnsi="宋体"/>
          <w:b/>
          <w:bCs/>
          <w:color w:val="auto"/>
          <w:szCs w:val="21"/>
          <w:highlight w:val="none"/>
        </w:rPr>
        <w:t>2</w:t>
      </w:r>
      <w:r>
        <w:rPr>
          <w:rFonts w:hint="eastAsia" w:ascii="宋体" w:hAnsi="宋体"/>
          <w:b/>
          <w:bCs/>
          <w:color w:val="auto"/>
          <w:szCs w:val="21"/>
          <w:highlight w:val="none"/>
        </w:rPr>
        <w:t>：</w:t>
      </w:r>
      <w:r>
        <w:rPr>
          <w:rFonts w:ascii="宋体" w:hAnsi="宋体" w:cs="黑体"/>
          <w:b/>
          <w:bCs/>
          <w:color w:val="auto"/>
          <w:sz w:val="32"/>
          <w:szCs w:val="32"/>
          <w:highlight w:val="none"/>
        </w:rPr>
        <w:t xml:space="preserve"> </w:t>
      </w:r>
    </w:p>
    <w:p>
      <w:pPr>
        <w:pStyle w:val="255"/>
        <w:numPr>
          <w:ilvl w:val="0"/>
          <w:numId w:val="0"/>
        </w:numPr>
        <w:wordWrap/>
        <w:spacing w:after="120" w:line="312" w:lineRule="auto"/>
        <w:outlineLvl w:val="9"/>
        <w:rPr>
          <w:rFonts w:ascii="宋体" w:hAnsi="宋体" w:eastAsia="宋体"/>
          <w:color w:val="auto"/>
          <w:sz w:val="21"/>
          <w:szCs w:val="21"/>
          <w:highlight w:val="none"/>
        </w:rPr>
      </w:pPr>
      <w:r>
        <w:rPr>
          <w:rFonts w:ascii="宋体" w:hAnsi="宋体" w:eastAsia="宋体" w:cs="黑体"/>
          <w:bCs/>
          <w:color w:val="auto"/>
          <w:kern w:val="2"/>
          <w:sz w:val="32"/>
          <w:szCs w:val="32"/>
          <w:highlight w:val="none"/>
        </w:rPr>
        <w:t>主要建设工程文件目录</w:t>
      </w:r>
      <w:bookmarkEnd w:id="62"/>
      <w:bookmarkEnd w:id="63"/>
    </w:p>
    <w:tbl>
      <w:tblPr>
        <w:tblStyle w:val="4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25"/>
        <w:gridCol w:w="1276"/>
        <w:gridCol w:w="1450"/>
        <w:gridCol w:w="1243"/>
        <w:gridCol w:w="1450"/>
        <w:gridCol w:w="16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125" w:type="dxa"/>
            <w:tcBorders>
              <w:top w:val="single" w:color="auto" w:sz="12" w:space="0"/>
              <w:bottom w:val="double" w:color="auto" w:sz="6" w:space="0"/>
            </w:tcBorders>
            <w:vAlign w:val="center"/>
          </w:tcPr>
          <w:p>
            <w:pPr>
              <w:pStyle w:val="20"/>
              <w:spacing w:line="312" w:lineRule="auto"/>
              <w:jc w:val="center"/>
              <w:rPr>
                <w:rFonts w:ascii="宋体" w:hAnsi="宋体"/>
                <w:color w:val="auto"/>
                <w:szCs w:val="21"/>
                <w:highlight w:val="none"/>
              </w:rPr>
            </w:pPr>
            <w:r>
              <w:rPr>
                <w:rFonts w:hint="eastAsia" w:ascii="宋体" w:hAnsi="宋体"/>
                <w:color w:val="auto"/>
                <w:szCs w:val="21"/>
                <w:highlight w:val="none"/>
              </w:rPr>
              <w:t>文件名称</w:t>
            </w:r>
          </w:p>
        </w:tc>
        <w:tc>
          <w:tcPr>
            <w:tcW w:w="1276" w:type="dxa"/>
            <w:tcBorders>
              <w:top w:val="single" w:color="auto" w:sz="12" w:space="0"/>
              <w:bottom w:val="double" w:color="auto" w:sz="6" w:space="0"/>
            </w:tcBorders>
            <w:vAlign w:val="center"/>
          </w:tcPr>
          <w:p>
            <w:pPr>
              <w:pStyle w:val="20"/>
              <w:spacing w:line="312" w:lineRule="auto"/>
              <w:jc w:val="center"/>
              <w:rPr>
                <w:rFonts w:ascii="宋体" w:hAnsi="宋体"/>
                <w:color w:val="auto"/>
                <w:szCs w:val="21"/>
                <w:highlight w:val="none"/>
              </w:rPr>
            </w:pPr>
            <w:r>
              <w:rPr>
                <w:rFonts w:hint="eastAsia" w:ascii="宋体" w:hAnsi="宋体"/>
                <w:color w:val="auto"/>
                <w:szCs w:val="21"/>
                <w:highlight w:val="none"/>
              </w:rPr>
              <w:t>套数</w:t>
            </w:r>
          </w:p>
        </w:tc>
        <w:tc>
          <w:tcPr>
            <w:tcW w:w="1450" w:type="dxa"/>
            <w:tcBorders>
              <w:top w:val="single" w:color="auto" w:sz="12" w:space="0"/>
              <w:bottom w:val="double" w:color="auto" w:sz="6" w:space="0"/>
            </w:tcBorders>
            <w:vAlign w:val="center"/>
          </w:tcPr>
          <w:p>
            <w:pPr>
              <w:pStyle w:val="20"/>
              <w:spacing w:line="312" w:lineRule="auto"/>
              <w:jc w:val="center"/>
              <w:rPr>
                <w:rFonts w:ascii="宋体" w:hAnsi="宋体"/>
                <w:color w:val="auto"/>
                <w:szCs w:val="21"/>
                <w:highlight w:val="none"/>
              </w:rPr>
            </w:pPr>
            <w:r>
              <w:rPr>
                <w:rFonts w:hint="eastAsia" w:ascii="宋体" w:hAnsi="宋体"/>
                <w:color w:val="auto"/>
                <w:szCs w:val="21"/>
                <w:highlight w:val="none"/>
              </w:rPr>
              <w:t>费用（元）</w:t>
            </w:r>
          </w:p>
        </w:tc>
        <w:tc>
          <w:tcPr>
            <w:tcW w:w="1243" w:type="dxa"/>
            <w:tcBorders>
              <w:top w:val="single" w:color="auto" w:sz="12" w:space="0"/>
              <w:bottom w:val="double" w:color="auto" w:sz="6" w:space="0"/>
            </w:tcBorders>
            <w:vAlign w:val="center"/>
          </w:tcPr>
          <w:p>
            <w:pPr>
              <w:pStyle w:val="20"/>
              <w:spacing w:line="312" w:lineRule="auto"/>
              <w:jc w:val="center"/>
              <w:rPr>
                <w:rFonts w:ascii="宋体" w:hAnsi="宋体"/>
                <w:color w:val="auto"/>
                <w:szCs w:val="21"/>
                <w:highlight w:val="none"/>
              </w:rPr>
            </w:pPr>
            <w:r>
              <w:rPr>
                <w:rFonts w:hint="eastAsia" w:ascii="宋体" w:hAnsi="宋体"/>
                <w:color w:val="auto"/>
                <w:szCs w:val="21"/>
                <w:highlight w:val="none"/>
              </w:rPr>
              <w:t>质量</w:t>
            </w:r>
          </w:p>
        </w:tc>
        <w:tc>
          <w:tcPr>
            <w:tcW w:w="1450" w:type="dxa"/>
            <w:tcBorders>
              <w:top w:val="single" w:color="auto" w:sz="12" w:space="0"/>
              <w:bottom w:val="double" w:color="auto" w:sz="6" w:space="0"/>
            </w:tcBorders>
          </w:tcPr>
          <w:p>
            <w:pPr>
              <w:spacing w:line="312" w:lineRule="auto"/>
              <w:jc w:val="center"/>
              <w:rPr>
                <w:color w:val="auto"/>
                <w:szCs w:val="21"/>
                <w:highlight w:val="none"/>
              </w:rPr>
            </w:pPr>
            <w:r>
              <w:rPr>
                <w:rFonts w:hint="eastAsia"/>
                <w:color w:val="auto"/>
                <w:szCs w:val="21"/>
                <w:highlight w:val="none"/>
              </w:rPr>
              <w:t>移交时间</w:t>
            </w:r>
          </w:p>
        </w:tc>
        <w:tc>
          <w:tcPr>
            <w:tcW w:w="1670" w:type="dxa"/>
            <w:tcBorders>
              <w:top w:val="single" w:color="auto" w:sz="12" w:space="0"/>
              <w:bottom w:val="double" w:color="auto" w:sz="6" w:space="0"/>
            </w:tcBorders>
          </w:tcPr>
          <w:p>
            <w:pPr>
              <w:spacing w:line="312" w:lineRule="auto"/>
              <w:jc w:val="center"/>
              <w:rPr>
                <w:color w:val="auto"/>
                <w:szCs w:val="21"/>
                <w:highlight w:val="none"/>
              </w:rPr>
            </w:pPr>
            <w:r>
              <w:rPr>
                <w:rFonts w:hint="eastAsia"/>
                <w:color w:val="auto"/>
                <w:szCs w:val="21"/>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double" w:color="auto" w:sz="6" w:space="0"/>
              <w:bottom w:val="single" w:color="auto" w:sz="6" w:space="0"/>
            </w:tcBorders>
            <w:vAlign w:val="center"/>
          </w:tcPr>
          <w:p>
            <w:pPr>
              <w:pStyle w:val="20"/>
              <w:spacing w:line="312" w:lineRule="auto"/>
              <w:ind w:firstLine="420"/>
              <w:rPr>
                <w:rFonts w:ascii="宋体" w:hAnsi="宋体"/>
                <w:color w:val="auto"/>
                <w:szCs w:val="21"/>
                <w:highlight w:val="none"/>
              </w:rPr>
            </w:pPr>
          </w:p>
        </w:tc>
        <w:tc>
          <w:tcPr>
            <w:tcW w:w="1276" w:type="dxa"/>
            <w:tcBorders>
              <w:top w:val="double" w:color="auto" w:sz="6" w:space="0"/>
              <w:bottom w:val="single" w:color="auto" w:sz="6" w:space="0"/>
            </w:tcBorders>
            <w:vAlign w:val="center"/>
          </w:tcPr>
          <w:p>
            <w:pPr>
              <w:pStyle w:val="20"/>
              <w:spacing w:line="312" w:lineRule="auto"/>
              <w:ind w:firstLine="420"/>
              <w:rPr>
                <w:rFonts w:ascii="宋体" w:hAnsi="宋体"/>
                <w:color w:val="auto"/>
                <w:szCs w:val="21"/>
                <w:highlight w:val="none"/>
              </w:rPr>
            </w:pPr>
          </w:p>
        </w:tc>
        <w:tc>
          <w:tcPr>
            <w:tcW w:w="1450" w:type="dxa"/>
            <w:tcBorders>
              <w:top w:val="double" w:color="auto" w:sz="6" w:space="0"/>
              <w:bottom w:val="single" w:color="auto" w:sz="6" w:space="0"/>
            </w:tcBorders>
            <w:vAlign w:val="center"/>
          </w:tcPr>
          <w:p>
            <w:pPr>
              <w:pStyle w:val="20"/>
              <w:spacing w:line="312" w:lineRule="auto"/>
              <w:ind w:firstLine="420"/>
              <w:rPr>
                <w:rFonts w:ascii="宋体" w:hAnsi="宋体"/>
                <w:color w:val="auto"/>
                <w:szCs w:val="21"/>
                <w:highlight w:val="none"/>
              </w:rPr>
            </w:pPr>
          </w:p>
        </w:tc>
        <w:tc>
          <w:tcPr>
            <w:tcW w:w="1243" w:type="dxa"/>
            <w:tcBorders>
              <w:top w:val="double" w:color="auto" w:sz="6" w:space="0"/>
              <w:bottom w:val="single" w:color="auto" w:sz="6" w:space="0"/>
            </w:tcBorders>
            <w:vAlign w:val="center"/>
          </w:tcPr>
          <w:p>
            <w:pPr>
              <w:pStyle w:val="20"/>
              <w:spacing w:line="312" w:lineRule="auto"/>
              <w:ind w:firstLine="420"/>
              <w:rPr>
                <w:rFonts w:ascii="宋体" w:hAnsi="宋体"/>
                <w:color w:val="auto"/>
                <w:szCs w:val="21"/>
                <w:highlight w:val="none"/>
              </w:rPr>
            </w:pPr>
          </w:p>
        </w:tc>
        <w:tc>
          <w:tcPr>
            <w:tcW w:w="1450" w:type="dxa"/>
            <w:tcBorders>
              <w:top w:val="double" w:color="auto" w:sz="6" w:space="0"/>
              <w:bottom w:val="single" w:color="auto" w:sz="6" w:space="0"/>
            </w:tcBorders>
            <w:vAlign w:val="center"/>
          </w:tcPr>
          <w:p>
            <w:pPr>
              <w:pStyle w:val="20"/>
              <w:spacing w:line="312" w:lineRule="auto"/>
              <w:ind w:firstLine="420"/>
              <w:rPr>
                <w:rFonts w:ascii="宋体" w:hAnsi="宋体"/>
                <w:color w:val="auto"/>
                <w:szCs w:val="21"/>
                <w:highlight w:val="none"/>
              </w:rPr>
            </w:pPr>
          </w:p>
        </w:tc>
        <w:tc>
          <w:tcPr>
            <w:tcW w:w="1670" w:type="dxa"/>
            <w:tcBorders>
              <w:top w:val="double" w:color="auto" w:sz="6" w:space="0"/>
              <w:bottom w:val="single" w:color="auto" w:sz="6" w:space="0"/>
            </w:tcBorders>
            <w:vAlign w:val="center"/>
          </w:tcPr>
          <w:p>
            <w:pPr>
              <w:pStyle w:val="20"/>
              <w:spacing w:line="312" w:lineRule="auto"/>
              <w:ind w:firstLine="42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nil"/>
            </w:tcBorders>
            <w:vAlign w:val="center"/>
          </w:tcPr>
          <w:p>
            <w:pPr>
              <w:pStyle w:val="20"/>
              <w:spacing w:line="312" w:lineRule="auto"/>
              <w:ind w:firstLine="420"/>
              <w:rPr>
                <w:rFonts w:ascii="宋体" w:hAnsi="宋体"/>
                <w:color w:val="auto"/>
                <w:szCs w:val="21"/>
                <w:highlight w:val="none"/>
              </w:rPr>
            </w:pPr>
          </w:p>
        </w:tc>
        <w:tc>
          <w:tcPr>
            <w:tcW w:w="1276" w:type="dxa"/>
            <w:tcBorders>
              <w:top w:val="nil"/>
            </w:tcBorders>
            <w:vAlign w:val="center"/>
          </w:tcPr>
          <w:p>
            <w:pPr>
              <w:pStyle w:val="20"/>
              <w:spacing w:line="312" w:lineRule="auto"/>
              <w:ind w:firstLine="420"/>
              <w:rPr>
                <w:rFonts w:ascii="宋体" w:hAnsi="宋体"/>
                <w:color w:val="auto"/>
                <w:szCs w:val="21"/>
                <w:highlight w:val="none"/>
              </w:rPr>
            </w:pPr>
          </w:p>
        </w:tc>
        <w:tc>
          <w:tcPr>
            <w:tcW w:w="1450" w:type="dxa"/>
            <w:tcBorders>
              <w:top w:val="nil"/>
            </w:tcBorders>
            <w:vAlign w:val="center"/>
          </w:tcPr>
          <w:p>
            <w:pPr>
              <w:pStyle w:val="20"/>
              <w:spacing w:line="312" w:lineRule="auto"/>
              <w:ind w:firstLine="420"/>
              <w:rPr>
                <w:rFonts w:ascii="宋体" w:hAnsi="宋体"/>
                <w:color w:val="auto"/>
                <w:szCs w:val="21"/>
                <w:highlight w:val="none"/>
              </w:rPr>
            </w:pPr>
          </w:p>
        </w:tc>
        <w:tc>
          <w:tcPr>
            <w:tcW w:w="1243" w:type="dxa"/>
            <w:tcBorders>
              <w:top w:val="nil"/>
            </w:tcBorders>
            <w:vAlign w:val="center"/>
          </w:tcPr>
          <w:p>
            <w:pPr>
              <w:pStyle w:val="20"/>
              <w:spacing w:line="312" w:lineRule="auto"/>
              <w:ind w:firstLine="420"/>
              <w:rPr>
                <w:rFonts w:ascii="宋体" w:hAnsi="宋体"/>
                <w:color w:val="auto"/>
                <w:szCs w:val="21"/>
                <w:highlight w:val="none"/>
              </w:rPr>
            </w:pPr>
          </w:p>
        </w:tc>
        <w:tc>
          <w:tcPr>
            <w:tcW w:w="1450" w:type="dxa"/>
            <w:tcBorders>
              <w:top w:val="nil"/>
            </w:tcBorders>
            <w:vAlign w:val="center"/>
          </w:tcPr>
          <w:p>
            <w:pPr>
              <w:pStyle w:val="20"/>
              <w:spacing w:line="312" w:lineRule="auto"/>
              <w:ind w:firstLine="420"/>
              <w:rPr>
                <w:rFonts w:ascii="宋体" w:hAnsi="宋体"/>
                <w:color w:val="auto"/>
                <w:szCs w:val="21"/>
                <w:highlight w:val="none"/>
              </w:rPr>
            </w:pPr>
          </w:p>
        </w:tc>
        <w:tc>
          <w:tcPr>
            <w:tcW w:w="1670" w:type="dxa"/>
            <w:tcBorders>
              <w:top w:val="nil"/>
            </w:tcBorders>
            <w:vAlign w:val="center"/>
          </w:tcPr>
          <w:p>
            <w:pPr>
              <w:pStyle w:val="20"/>
              <w:spacing w:line="312" w:lineRule="auto"/>
              <w:ind w:firstLine="42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20"/>
              <w:spacing w:line="312" w:lineRule="auto"/>
              <w:ind w:firstLine="420"/>
              <w:rPr>
                <w:rFonts w:ascii="宋体" w:hAnsi="宋体"/>
                <w:color w:val="auto"/>
                <w:szCs w:val="21"/>
                <w:highlight w:val="none"/>
              </w:rPr>
            </w:pPr>
          </w:p>
        </w:tc>
        <w:tc>
          <w:tcPr>
            <w:tcW w:w="1276" w:type="dxa"/>
            <w:vAlign w:val="center"/>
          </w:tcPr>
          <w:p>
            <w:pPr>
              <w:pStyle w:val="20"/>
              <w:spacing w:line="312" w:lineRule="auto"/>
              <w:ind w:firstLine="420"/>
              <w:rPr>
                <w:rFonts w:ascii="宋体" w:hAnsi="宋体"/>
                <w:color w:val="auto"/>
                <w:szCs w:val="21"/>
                <w:highlight w:val="none"/>
              </w:rPr>
            </w:pPr>
          </w:p>
        </w:tc>
        <w:tc>
          <w:tcPr>
            <w:tcW w:w="1450" w:type="dxa"/>
            <w:vAlign w:val="center"/>
          </w:tcPr>
          <w:p>
            <w:pPr>
              <w:pStyle w:val="20"/>
              <w:spacing w:line="312" w:lineRule="auto"/>
              <w:ind w:firstLine="420"/>
              <w:rPr>
                <w:rFonts w:ascii="宋体" w:hAnsi="宋体"/>
                <w:color w:val="auto"/>
                <w:szCs w:val="21"/>
                <w:highlight w:val="none"/>
              </w:rPr>
            </w:pPr>
          </w:p>
        </w:tc>
        <w:tc>
          <w:tcPr>
            <w:tcW w:w="1243" w:type="dxa"/>
            <w:vAlign w:val="center"/>
          </w:tcPr>
          <w:p>
            <w:pPr>
              <w:pStyle w:val="20"/>
              <w:spacing w:line="312" w:lineRule="auto"/>
              <w:ind w:firstLine="420"/>
              <w:rPr>
                <w:rFonts w:ascii="宋体" w:hAnsi="宋体"/>
                <w:color w:val="auto"/>
                <w:szCs w:val="21"/>
                <w:highlight w:val="none"/>
              </w:rPr>
            </w:pPr>
          </w:p>
        </w:tc>
        <w:tc>
          <w:tcPr>
            <w:tcW w:w="1450" w:type="dxa"/>
            <w:vAlign w:val="center"/>
          </w:tcPr>
          <w:p>
            <w:pPr>
              <w:pStyle w:val="20"/>
              <w:spacing w:line="312" w:lineRule="auto"/>
              <w:ind w:firstLine="420"/>
              <w:rPr>
                <w:rFonts w:ascii="宋体" w:hAnsi="宋体"/>
                <w:color w:val="auto"/>
                <w:szCs w:val="21"/>
                <w:highlight w:val="none"/>
              </w:rPr>
            </w:pPr>
          </w:p>
        </w:tc>
        <w:tc>
          <w:tcPr>
            <w:tcW w:w="1670" w:type="dxa"/>
            <w:vAlign w:val="center"/>
          </w:tcPr>
          <w:p>
            <w:pPr>
              <w:pStyle w:val="20"/>
              <w:spacing w:line="312" w:lineRule="auto"/>
              <w:ind w:firstLine="42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20"/>
              <w:spacing w:line="312" w:lineRule="auto"/>
              <w:ind w:firstLine="420"/>
              <w:rPr>
                <w:rFonts w:ascii="宋体" w:hAnsi="宋体"/>
                <w:color w:val="auto"/>
                <w:szCs w:val="21"/>
                <w:highlight w:val="none"/>
              </w:rPr>
            </w:pPr>
          </w:p>
        </w:tc>
        <w:tc>
          <w:tcPr>
            <w:tcW w:w="1276" w:type="dxa"/>
            <w:vAlign w:val="center"/>
          </w:tcPr>
          <w:p>
            <w:pPr>
              <w:pStyle w:val="20"/>
              <w:spacing w:line="312" w:lineRule="auto"/>
              <w:ind w:firstLine="420"/>
              <w:rPr>
                <w:rFonts w:ascii="宋体" w:hAnsi="宋体"/>
                <w:color w:val="auto"/>
                <w:szCs w:val="21"/>
                <w:highlight w:val="none"/>
              </w:rPr>
            </w:pPr>
          </w:p>
        </w:tc>
        <w:tc>
          <w:tcPr>
            <w:tcW w:w="1450" w:type="dxa"/>
            <w:vAlign w:val="center"/>
          </w:tcPr>
          <w:p>
            <w:pPr>
              <w:pStyle w:val="20"/>
              <w:spacing w:line="312" w:lineRule="auto"/>
              <w:ind w:firstLine="420"/>
              <w:rPr>
                <w:rFonts w:ascii="宋体" w:hAnsi="宋体"/>
                <w:color w:val="auto"/>
                <w:szCs w:val="21"/>
                <w:highlight w:val="none"/>
              </w:rPr>
            </w:pPr>
          </w:p>
        </w:tc>
        <w:tc>
          <w:tcPr>
            <w:tcW w:w="1243" w:type="dxa"/>
            <w:vAlign w:val="center"/>
          </w:tcPr>
          <w:p>
            <w:pPr>
              <w:pStyle w:val="20"/>
              <w:spacing w:line="312" w:lineRule="auto"/>
              <w:ind w:firstLine="420"/>
              <w:rPr>
                <w:rFonts w:ascii="宋体" w:hAnsi="宋体"/>
                <w:color w:val="auto"/>
                <w:szCs w:val="21"/>
                <w:highlight w:val="none"/>
              </w:rPr>
            </w:pPr>
          </w:p>
        </w:tc>
        <w:tc>
          <w:tcPr>
            <w:tcW w:w="1450" w:type="dxa"/>
            <w:vAlign w:val="center"/>
          </w:tcPr>
          <w:p>
            <w:pPr>
              <w:pStyle w:val="20"/>
              <w:spacing w:line="312" w:lineRule="auto"/>
              <w:ind w:firstLine="420"/>
              <w:rPr>
                <w:rFonts w:ascii="宋体" w:hAnsi="宋体"/>
                <w:color w:val="auto"/>
                <w:szCs w:val="21"/>
                <w:highlight w:val="none"/>
              </w:rPr>
            </w:pPr>
          </w:p>
        </w:tc>
        <w:tc>
          <w:tcPr>
            <w:tcW w:w="1670" w:type="dxa"/>
            <w:vAlign w:val="center"/>
          </w:tcPr>
          <w:p>
            <w:pPr>
              <w:pStyle w:val="20"/>
              <w:spacing w:line="312" w:lineRule="auto"/>
              <w:ind w:firstLine="42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20"/>
              <w:spacing w:line="312" w:lineRule="auto"/>
              <w:ind w:firstLine="420"/>
              <w:rPr>
                <w:rFonts w:ascii="宋体" w:hAnsi="宋体"/>
                <w:color w:val="auto"/>
                <w:szCs w:val="21"/>
                <w:highlight w:val="none"/>
              </w:rPr>
            </w:pPr>
          </w:p>
        </w:tc>
        <w:tc>
          <w:tcPr>
            <w:tcW w:w="1276" w:type="dxa"/>
            <w:vAlign w:val="center"/>
          </w:tcPr>
          <w:p>
            <w:pPr>
              <w:pStyle w:val="20"/>
              <w:spacing w:line="312" w:lineRule="auto"/>
              <w:ind w:firstLine="420"/>
              <w:rPr>
                <w:rFonts w:ascii="宋体" w:hAnsi="宋体"/>
                <w:color w:val="auto"/>
                <w:szCs w:val="21"/>
                <w:highlight w:val="none"/>
              </w:rPr>
            </w:pPr>
          </w:p>
        </w:tc>
        <w:tc>
          <w:tcPr>
            <w:tcW w:w="1450" w:type="dxa"/>
            <w:vAlign w:val="center"/>
          </w:tcPr>
          <w:p>
            <w:pPr>
              <w:pStyle w:val="20"/>
              <w:spacing w:line="312" w:lineRule="auto"/>
              <w:ind w:firstLine="420"/>
              <w:rPr>
                <w:rFonts w:ascii="宋体" w:hAnsi="宋体"/>
                <w:color w:val="auto"/>
                <w:szCs w:val="21"/>
                <w:highlight w:val="none"/>
              </w:rPr>
            </w:pPr>
          </w:p>
        </w:tc>
        <w:tc>
          <w:tcPr>
            <w:tcW w:w="1243" w:type="dxa"/>
            <w:vAlign w:val="center"/>
          </w:tcPr>
          <w:p>
            <w:pPr>
              <w:pStyle w:val="20"/>
              <w:spacing w:line="312" w:lineRule="auto"/>
              <w:ind w:firstLine="420"/>
              <w:rPr>
                <w:rFonts w:ascii="宋体" w:hAnsi="宋体"/>
                <w:color w:val="auto"/>
                <w:szCs w:val="21"/>
                <w:highlight w:val="none"/>
              </w:rPr>
            </w:pPr>
          </w:p>
        </w:tc>
        <w:tc>
          <w:tcPr>
            <w:tcW w:w="1450" w:type="dxa"/>
            <w:vAlign w:val="center"/>
          </w:tcPr>
          <w:p>
            <w:pPr>
              <w:pStyle w:val="20"/>
              <w:spacing w:line="312" w:lineRule="auto"/>
              <w:ind w:firstLine="420"/>
              <w:rPr>
                <w:rFonts w:ascii="宋体" w:hAnsi="宋体"/>
                <w:color w:val="auto"/>
                <w:szCs w:val="21"/>
                <w:highlight w:val="none"/>
              </w:rPr>
            </w:pPr>
          </w:p>
        </w:tc>
        <w:tc>
          <w:tcPr>
            <w:tcW w:w="1670" w:type="dxa"/>
            <w:vAlign w:val="center"/>
          </w:tcPr>
          <w:p>
            <w:pPr>
              <w:pStyle w:val="20"/>
              <w:spacing w:line="312" w:lineRule="auto"/>
              <w:ind w:firstLine="42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20"/>
              <w:spacing w:line="312" w:lineRule="auto"/>
              <w:ind w:firstLine="420"/>
              <w:rPr>
                <w:rFonts w:ascii="宋体" w:hAnsi="宋体"/>
                <w:color w:val="auto"/>
                <w:szCs w:val="21"/>
                <w:highlight w:val="none"/>
              </w:rPr>
            </w:pPr>
          </w:p>
        </w:tc>
        <w:tc>
          <w:tcPr>
            <w:tcW w:w="1276" w:type="dxa"/>
            <w:vAlign w:val="center"/>
          </w:tcPr>
          <w:p>
            <w:pPr>
              <w:pStyle w:val="20"/>
              <w:spacing w:line="312" w:lineRule="auto"/>
              <w:ind w:firstLine="420"/>
              <w:rPr>
                <w:rFonts w:ascii="宋体" w:hAnsi="宋体"/>
                <w:color w:val="auto"/>
                <w:szCs w:val="21"/>
                <w:highlight w:val="none"/>
              </w:rPr>
            </w:pPr>
          </w:p>
        </w:tc>
        <w:tc>
          <w:tcPr>
            <w:tcW w:w="1450" w:type="dxa"/>
            <w:vAlign w:val="center"/>
          </w:tcPr>
          <w:p>
            <w:pPr>
              <w:pStyle w:val="20"/>
              <w:spacing w:line="312" w:lineRule="auto"/>
              <w:ind w:firstLine="420"/>
              <w:rPr>
                <w:rFonts w:ascii="宋体" w:hAnsi="宋体"/>
                <w:color w:val="auto"/>
                <w:szCs w:val="21"/>
                <w:highlight w:val="none"/>
              </w:rPr>
            </w:pPr>
          </w:p>
        </w:tc>
        <w:tc>
          <w:tcPr>
            <w:tcW w:w="1243" w:type="dxa"/>
            <w:vAlign w:val="center"/>
          </w:tcPr>
          <w:p>
            <w:pPr>
              <w:pStyle w:val="20"/>
              <w:spacing w:line="312" w:lineRule="auto"/>
              <w:ind w:firstLine="420"/>
              <w:rPr>
                <w:rFonts w:ascii="宋体" w:hAnsi="宋体"/>
                <w:color w:val="auto"/>
                <w:szCs w:val="21"/>
                <w:highlight w:val="none"/>
              </w:rPr>
            </w:pPr>
          </w:p>
        </w:tc>
        <w:tc>
          <w:tcPr>
            <w:tcW w:w="1450" w:type="dxa"/>
            <w:vAlign w:val="center"/>
          </w:tcPr>
          <w:p>
            <w:pPr>
              <w:pStyle w:val="20"/>
              <w:spacing w:line="312" w:lineRule="auto"/>
              <w:ind w:firstLine="420"/>
              <w:rPr>
                <w:rFonts w:ascii="宋体" w:hAnsi="宋体"/>
                <w:color w:val="auto"/>
                <w:szCs w:val="21"/>
                <w:highlight w:val="none"/>
              </w:rPr>
            </w:pPr>
          </w:p>
        </w:tc>
        <w:tc>
          <w:tcPr>
            <w:tcW w:w="1670" w:type="dxa"/>
            <w:vAlign w:val="center"/>
          </w:tcPr>
          <w:p>
            <w:pPr>
              <w:pStyle w:val="20"/>
              <w:spacing w:line="312" w:lineRule="auto"/>
              <w:ind w:firstLine="42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20"/>
              <w:spacing w:line="312" w:lineRule="auto"/>
              <w:ind w:firstLine="420"/>
              <w:rPr>
                <w:rFonts w:ascii="宋体" w:hAnsi="宋体"/>
                <w:color w:val="auto"/>
                <w:szCs w:val="21"/>
                <w:highlight w:val="none"/>
              </w:rPr>
            </w:pPr>
          </w:p>
        </w:tc>
        <w:tc>
          <w:tcPr>
            <w:tcW w:w="1276" w:type="dxa"/>
            <w:vAlign w:val="center"/>
          </w:tcPr>
          <w:p>
            <w:pPr>
              <w:pStyle w:val="20"/>
              <w:spacing w:line="312" w:lineRule="auto"/>
              <w:ind w:firstLine="420"/>
              <w:rPr>
                <w:rFonts w:ascii="宋体" w:hAnsi="宋体"/>
                <w:color w:val="auto"/>
                <w:szCs w:val="21"/>
                <w:highlight w:val="none"/>
              </w:rPr>
            </w:pPr>
          </w:p>
        </w:tc>
        <w:tc>
          <w:tcPr>
            <w:tcW w:w="1450" w:type="dxa"/>
            <w:vAlign w:val="center"/>
          </w:tcPr>
          <w:p>
            <w:pPr>
              <w:pStyle w:val="20"/>
              <w:spacing w:line="312" w:lineRule="auto"/>
              <w:ind w:firstLine="420"/>
              <w:rPr>
                <w:rFonts w:ascii="宋体" w:hAnsi="宋体"/>
                <w:color w:val="auto"/>
                <w:szCs w:val="21"/>
                <w:highlight w:val="none"/>
              </w:rPr>
            </w:pPr>
          </w:p>
        </w:tc>
        <w:tc>
          <w:tcPr>
            <w:tcW w:w="1243" w:type="dxa"/>
            <w:vAlign w:val="center"/>
          </w:tcPr>
          <w:p>
            <w:pPr>
              <w:pStyle w:val="20"/>
              <w:spacing w:line="312" w:lineRule="auto"/>
              <w:ind w:firstLine="420"/>
              <w:rPr>
                <w:rFonts w:ascii="宋体" w:hAnsi="宋体"/>
                <w:color w:val="auto"/>
                <w:szCs w:val="21"/>
                <w:highlight w:val="none"/>
              </w:rPr>
            </w:pPr>
          </w:p>
        </w:tc>
        <w:tc>
          <w:tcPr>
            <w:tcW w:w="1450" w:type="dxa"/>
            <w:vAlign w:val="center"/>
          </w:tcPr>
          <w:p>
            <w:pPr>
              <w:pStyle w:val="20"/>
              <w:spacing w:line="312" w:lineRule="auto"/>
              <w:ind w:firstLine="420"/>
              <w:rPr>
                <w:rFonts w:ascii="宋体" w:hAnsi="宋体"/>
                <w:color w:val="auto"/>
                <w:szCs w:val="21"/>
                <w:highlight w:val="none"/>
              </w:rPr>
            </w:pPr>
          </w:p>
        </w:tc>
        <w:tc>
          <w:tcPr>
            <w:tcW w:w="1670" w:type="dxa"/>
            <w:vAlign w:val="center"/>
          </w:tcPr>
          <w:p>
            <w:pPr>
              <w:pStyle w:val="20"/>
              <w:spacing w:line="312" w:lineRule="auto"/>
              <w:ind w:firstLine="42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20"/>
              <w:spacing w:line="312" w:lineRule="auto"/>
              <w:ind w:firstLine="420"/>
              <w:rPr>
                <w:rFonts w:ascii="宋体" w:hAnsi="宋体"/>
                <w:color w:val="auto"/>
                <w:szCs w:val="21"/>
                <w:highlight w:val="none"/>
              </w:rPr>
            </w:pPr>
          </w:p>
        </w:tc>
        <w:tc>
          <w:tcPr>
            <w:tcW w:w="1276" w:type="dxa"/>
            <w:vAlign w:val="center"/>
          </w:tcPr>
          <w:p>
            <w:pPr>
              <w:pStyle w:val="20"/>
              <w:spacing w:line="312" w:lineRule="auto"/>
              <w:ind w:firstLine="420"/>
              <w:rPr>
                <w:rFonts w:ascii="宋体" w:hAnsi="宋体"/>
                <w:color w:val="auto"/>
                <w:szCs w:val="21"/>
                <w:highlight w:val="none"/>
              </w:rPr>
            </w:pPr>
          </w:p>
        </w:tc>
        <w:tc>
          <w:tcPr>
            <w:tcW w:w="1450" w:type="dxa"/>
            <w:vAlign w:val="center"/>
          </w:tcPr>
          <w:p>
            <w:pPr>
              <w:pStyle w:val="20"/>
              <w:spacing w:line="312" w:lineRule="auto"/>
              <w:ind w:firstLine="420"/>
              <w:rPr>
                <w:rFonts w:ascii="宋体" w:hAnsi="宋体"/>
                <w:color w:val="auto"/>
                <w:szCs w:val="21"/>
                <w:highlight w:val="none"/>
              </w:rPr>
            </w:pPr>
          </w:p>
        </w:tc>
        <w:tc>
          <w:tcPr>
            <w:tcW w:w="1243" w:type="dxa"/>
            <w:vAlign w:val="center"/>
          </w:tcPr>
          <w:p>
            <w:pPr>
              <w:pStyle w:val="20"/>
              <w:spacing w:line="312" w:lineRule="auto"/>
              <w:ind w:firstLine="420"/>
              <w:rPr>
                <w:rFonts w:ascii="宋体" w:hAnsi="宋体"/>
                <w:color w:val="auto"/>
                <w:szCs w:val="21"/>
                <w:highlight w:val="none"/>
              </w:rPr>
            </w:pPr>
          </w:p>
        </w:tc>
        <w:tc>
          <w:tcPr>
            <w:tcW w:w="1450" w:type="dxa"/>
            <w:vAlign w:val="center"/>
          </w:tcPr>
          <w:p>
            <w:pPr>
              <w:pStyle w:val="20"/>
              <w:spacing w:line="312" w:lineRule="auto"/>
              <w:ind w:firstLine="420"/>
              <w:rPr>
                <w:rFonts w:ascii="宋体" w:hAnsi="宋体"/>
                <w:color w:val="auto"/>
                <w:szCs w:val="21"/>
                <w:highlight w:val="none"/>
              </w:rPr>
            </w:pPr>
          </w:p>
        </w:tc>
        <w:tc>
          <w:tcPr>
            <w:tcW w:w="1670" w:type="dxa"/>
            <w:vAlign w:val="center"/>
          </w:tcPr>
          <w:p>
            <w:pPr>
              <w:pStyle w:val="20"/>
              <w:spacing w:line="312" w:lineRule="auto"/>
              <w:ind w:firstLine="42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spacing w:line="312" w:lineRule="auto"/>
              <w:ind w:firstLine="420"/>
              <w:rPr>
                <w:color w:val="auto"/>
                <w:szCs w:val="21"/>
                <w:highlight w:val="none"/>
              </w:rPr>
            </w:pPr>
          </w:p>
        </w:tc>
        <w:tc>
          <w:tcPr>
            <w:tcW w:w="1276" w:type="dxa"/>
          </w:tcPr>
          <w:p>
            <w:pPr>
              <w:spacing w:line="312" w:lineRule="auto"/>
              <w:ind w:firstLine="420"/>
              <w:rPr>
                <w:color w:val="auto"/>
                <w:szCs w:val="21"/>
                <w:highlight w:val="none"/>
              </w:rPr>
            </w:pPr>
          </w:p>
        </w:tc>
        <w:tc>
          <w:tcPr>
            <w:tcW w:w="1450" w:type="dxa"/>
          </w:tcPr>
          <w:p>
            <w:pPr>
              <w:spacing w:line="312" w:lineRule="auto"/>
              <w:ind w:firstLine="420"/>
              <w:rPr>
                <w:color w:val="auto"/>
                <w:szCs w:val="21"/>
                <w:highlight w:val="none"/>
              </w:rPr>
            </w:pPr>
          </w:p>
        </w:tc>
        <w:tc>
          <w:tcPr>
            <w:tcW w:w="1243" w:type="dxa"/>
          </w:tcPr>
          <w:p>
            <w:pPr>
              <w:spacing w:line="312" w:lineRule="auto"/>
              <w:ind w:firstLine="420"/>
              <w:rPr>
                <w:color w:val="auto"/>
                <w:szCs w:val="21"/>
                <w:highlight w:val="none"/>
              </w:rPr>
            </w:pPr>
          </w:p>
        </w:tc>
        <w:tc>
          <w:tcPr>
            <w:tcW w:w="1450" w:type="dxa"/>
          </w:tcPr>
          <w:p>
            <w:pPr>
              <w:spacing w:line="312" w:lineRule="auto"/>
              <w:ind w:firstLine="420"/>
              <w:rPr>
                <w:color w:val="auto"/>
                <w:szCs w:val="21"/>
                <w:highlight w:val="none"/>
              </w:rPr>
            </w:pPr>
          </w:p>
        </w:tc>
        <w:tc>
          <w:tcPr>
            <w:tcW w:w="1670" w:type="dxa"/>
          </w:tcPr>
          <w:p>
            <w:pPr>
              <w:spacing w:line="312" w:lineRule="auto"/>
              <w:ind w:firstLine="420"/>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20"/>
              <w:spacing w:line="312" w:lineRule="auto"/>
              <w:ind w:firstLine="420"/>
              <w:rPr>
                <w:rFonts w:ascii="宋体" w:hAnsi="宋体"/>
                <w:color w:val="auto"/>
                <w:szCs w:val="21"/>
                <w:highlight w:val="none"/>
              </w:rPr>
            </w:pPr>
          </w:p>
        </w:tc>
        <w:tc>
          <w:tcPr>
            <w:tcW w:w="1276" w:type="dxa"/>
            <w:vAlign w:val="center"/>
          </w:tcPr>
          <w:p>
            <w:pPr>
              <w:pStyle w:val="20"/>
              <w:spacing w:line="312" w:lineRule="auto"/>
              <w:ind w:firstLine="420"/>
              <w:rPr>
                <w:rFonts w:ascii="宋体" w:hAnsi="宋体"/>
                <w:color w:val="auto"/>
                <w:szCs w:val="21"/>
                <w:highlight w:val="none"/>
              </w:rPr>
            </w:pPr>
          </w:p>
        </w:tc>
        <w:tc>
          <w:tcPr>
            <w:tcW w:w="1450" w:type="dxa"/>
            <w:vAlign w:val="center"/>
          </w:tcPr>
          <w:p>
            <w:pPr>
              <w:pStyle w:val="20"/>
              <w:spacing w:line="312" w:lineRule="auto"/>
              <w:ind w:firstLine="420"/>
              <w:rPr>
                <w:rFonts w:ascii="宋体" w:hAnsi="宋体"/>
                <w:color w:val="auto"/>
                <w:szCs w:val="21"/>
                <w:highlight w:val="none"/>
              </w:rPr>
            </w:pPr>
          </w:p>
        </w:tc>
        <w:tc>
          <w:tcPr>
            <w:tcW w:w="1243" w:type="dxa"/>
            <w:vAlign w:val="center"/>
          </w:tcPr>
          <w:p>
            <w:pPr>
              <w:pStyle w:val="20"/>
              <w:spacing w:line="312" w:lineRule="auto"/>
              <w:ind w:firstLine="420"/>
              <w:rPr>
                <w:rFonts w:ascii="宋体" w:hAnsi="宋体"/>
                <w:color w:val="auto"/>
                <w:szCs w:val="21"/>
                <w:highlight w:val="none"/>
              </w:rPr>
            </w:pPr>
          </w:p>
        </w:tc>
        <w:tc>
          <w:tcPr>
            <w:tcW w:w="1450" w:type="dxa"/>
            <w:vAlign w:val="center"/>
          </w:tcPr>
          <w:p>
            <w:pPr>
              <w:pStyle w:val="20"/>
              <w:spacing w:line="312" w:lineRule="auto"/>
              <w:ind w:firstLine="420"/>
              <w:rPr>
                <w:rFonts w:ascii="宋体" w:hAnsi="宋体"/>
                <w:color w:val="auto"/>
                <w:szCs w:val="21"/>
                <w:highlight w:val="none"/>
              </w:rPr>
            </w:pPr>
          </w:p>
        </w:tc>
        <w:tc>
          <w:tcPr>
            <w:tcW w:w="1670" w:type="dxa"/>
            <w:vAlign w:val="center"/>
          </w:tcPr>
          <w:p>
            <w:pPr>
              <w:pStyle w:val="20"/>
              <w:spacing w:line="312" w:lineRule="auto"/>
              <w:ind w:firstLine="42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spacing w:line="312" w:lineRule="auto"/>
              <w:ind w:firstLine="420"/>
              <w:rPr>
                <w:color w:val="auto"/>
                <w:szCs w:val="21"/>
                <w:highlight w:val="none"/>
              </w:rPr>
            </w:pPr>
          </w:p>
        </w:tc>
        <w:tc>
          <w:tcPr>
            <w:tcW w:w="1276" w:type="dxa"/>
          </w:tcPr>
          <w:p>
            <w:pPr>
              <w:spacing w:line="312" w:lineRule="auto"/>
              <w:ind w:firstLine="420"/>
              <w:rPr>
                <w:color w:val="auto"/>
                <w:szCs w:val="21"/>
                <w:highlight w:val="none"/>
              </w:rPr>
            </w:pPr>
          </w:p>
        </w:tc>
        <w:tc>
          <w:tcPr>
            <w:tcW w:w="1450" w:type="dxa"/>
          </w:tcPr>
          <w:p>
            <w:pPr>
              <w:spacing w:line="312" w:lineRule="auto"/>
              <w:ind w:firstLine="420"/>
              <w:rPr>
                <w:color w:val="auto"/>
                <w:szCs w:val="21"/>
                <w:highlight w:val="none"/>
              </w:rPr>
            </w:pPr>
          </w:p>
        </w:tc>
        <w:tc>
          <w:tcPr>
            <w:tcW w:w="1243" w:type="dxa"/>
          </w:tcPr>
          <w:p>
            <w:pPr>
              <w:spacing w:line="312" w:lineRule="auto"/>
              <w:ind w:firstLine="420"/>
              <w:rPr>
                <w:color w:val="auto"/>
                <w:szCs w:val="21"/>
                <w:highlight w:val="none"/>
              </w:rPr>
            </w:pPr>
          </w:p>
        </w:tc>
        <w:tc>
          <w:tcPr>
            <w:tcW w:w="1450" w:type="dxa"/>
          </w:tcPr>
          <w:p>
            <w:pPr>
              <w:spacing w:line="312" w:lineRule="auto"/>
              <w:ind w:firstLine="420"/>
              <w:rPr>
                <w:color w:val="auto"/>
                <w:szCs w:val="21"/>
                <w:highlight w:val="none"/>
              </w:rPr>
            </w:pPr>
          </w:p>
        </w:tc>
        <w:tc>
          <w:tcPr>
            <w:tcW w:w="1670" w:type="dxa"/>
          </w:tcPr>
          <w:p>
            <w:pPr>
              <w:spacing w:line="312" w:lineRule="auto"/>
              <w:ind w:firstLine="420"/>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spacing w:line="312" w:lineRule="auto"/>
              <w:ind w:firstLine="420"/>
              <w:rPr>
                <w:color w:val="auto"/>
                <w:szCs w:val="21"/>
                <w:highlight w:val="none"/>
              </w:rPr>
            </w:pPr>
          </w:p>
        </w:tc>
        <w:tc>
          <w:tcPr>
            <w:tcW w:w="1276" w:type="dxa"/>
          </w:tcPr>
          <w:p>
            <w:pPr>
              <w:spacing w:line="312" w:lineRule="auto"/>
              <w:ind w:firstLine="420"/>
              <w:rPr>
                <w:color w:val="auto"/>
                <w:szCs w:val="21"/>
                <w:highlight w:val="none"/>
              </w:rPr>
            </w:pPr>
          </w:p>
        </w:tc>
        <w:tc>
          <w:tcPr>
            <w:tcW w:w="1450" w:type="dxa"/>
          </w:tcPr>
          <w:p>
            <w:pPr>
              <w:spacing w:line="312" w:lineRule="auto"/>
              <w:ind w:firstLine="420"/>
              <w:rPr>
                <w:color w:val="auto"/>
                <w:szCs w:val="21"/>
                <w:highlight w:val="none"/>
              </w:rPr>
            </w:pPr>
          </w:p>
        </w:tc>
        <w:tc>
          <w:tcPr>
            <w:tcW w:w="1243" w:type="dxa"/>
          </w:tcPr>
          <w:p>
            <w:pPr>
              <w:spacing w:line="312" w:lineRule="auto"/>
              <w:ind w:firstLine="420"/>
              <w:rPr>
                <w:color w:val="auto"/>
                <w:szCs w:val="21"/>
                <w:highlight w:val="none"/>
              </w:rPr>
            </w:pPr>
          </w:p>
        </w:tc>
        <w:tc>
          <w:tcPr>
            <w:tcW w:w="1450" w:type="dxa"/>
          </w:tcPr>
          <w:p>
            <w:pPr>
              <w:spacing w:line="312" w:lineRule="auto"/>
              <w:ind w:firstLine="420"/>
              <w:rPr>
                <w:color w:val="auto"/>
                <w:szCs w:val="21"/>
                <w:highlight w:val="none"/>
              </w:rPr>
            </w:pPr>
          </w:p>
        </w:tc>
        <w:tc>
          <w:tcPr>
            <w:tcW w:w="1670" w:type="dxa"/>
          </w:tcPr>
          <w:p>
            <w:pPr>
              <w:spacing w:line="312" w:lineRule="auto"/>
              <w:ind w:firstLine="420"/>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spacing w:line="312" w:lineRule="auto"/>
              <w:ind w:firstLine="420"/>
              <w:rPr>
                <w:color w:val="auto"/>
                <w:szCs w:val="21"/>
                <w:highlight w:val="none"/>
              </w:rPr>
            </w:pPr>
          </w:p>
        </w:tc>
        <w:tc>
          <w:tcPr>
            <w:tcW w:w="1276" w:type="dxa"/>
          </w:tcPr>
          <w:p>
            <w:pPr>
              <w:spacing w:line="312" w:lineRule="auto"/>
              <w:ind w:firstLine="420"/>
              <w:rPr>
                <w:color w:val="auto"/>
                <w:szCs w:val="21"/>
                <w:highlight w:val="none"/>
              </w:rPr>
            </w:pPr>
          </w:p>
        </w:tc>
        <w:tc>
          <w:tcPr>
            <w:tcW w:w="1450" w:type="dxa"/>
          </w:tcPr>
          <w:p>
            <w:pPr>
              <w:spacing w:line="312" w:lineRule="auto"/>
              <w:ind w:firstLine="420"/>
              <w:rPr>
                <w:color w:val="auto"/>
                <w:szCs w:val="21"/>
                <w:highlight w:val="none"/>
              </w:rPr>
            </w:pPr>
          </w:p>
        </w:tc>
        <w:tc>
          <w:tcPr>
            <w:tcW w:w="1243" w:type="dxa"/>
          </w:tcPr>
          <w:p>
            <w:pPr>
              <w:spacing w:line="312" w:lineRule="auto"/>
              <w:ind w:firstLine="420"/>
              <w:rPr>
                <w:color w:val="auto"/>
                <w:szCs w:val="21"/>
                <w:highlight w:val="none"/>
              </w:rPr>
            </w:pPr>
          </w:p>
        </w:tc>
        <w:tc>
          <w:tcPr>
            <w:tcW w:w="1450" w:type="dxa"/>
          </w:tcPr>
          <w:p>
            <w:pPr>
              <w:spacing w:line="312" w:lineRule="auto"/>
              <w:ind w:firstLine="420"/>
              <w:rPr>
                <w:color w:val="auto"/>
                <w:szCs w:val="21"/>
                <w:highlight w:val="none"/>
              </w:rPr>
            </w:pPr>
          </w:p>
        </w:tc>
        <w:tc>
          <w:tcPr>
            <w:tcW w:w="1670" w:type="dxa"/>
          </w:tcPr>
          <w:p>
            <w:pPr>
              <w:spacing w:line="312" w:lineRule="auto"/>
              <w:ind w:firstLine="420"/>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spacing w:line="312" w:lineRule="auto"/>
              <w:ind w:firstLine="420"/>
              <w:rPr>
                <w:color w:val="auto"/>
                <w:szCs w:val="21"/>
                <w:highlight w:val="none"/>
              </w:rPr>
            </w:pPr>
          </w:p>
        </w:tc>
        <w:tc>
          <w:tcPr>
            <w:tcW w:w="1276" w:type="dxa"/>
          </w:tcPr>
          <w:p>
            <w:pPr>
              <w:spacing w:line="312" w:lineRule="auto"/>
              <w:ind w:firstLine="420"/>
              <w:rPr>
                <w:color w:val="auto"/>
                <w:szCs w:val="21"/>
                <w:highlight w:val="none"/>
              </w:rPr>
            </w:pPr>
          </w:p>
        </w:tc>
        <w:tc>
          <w:tcPr>
            <w:tcW w:w="1450" w:type="dxa"/>
          </w:tcPr>
          <w:p>
            <w:pPr>
              <w:spacing w:line="312" w:lineRule="auto"/>
              <w:ind w:firstLine="420"/>
              <w:rPr>
                <w:color w:val="auto"/>
                <w:szCs w:val="21"/>
                <w:highlight w:val="none"/>
              </w:rPr>
            </w:pPr>
          </w:p>
        </w:tc>
        <w:tc>
          <w:tcPr>
            <w:tcW w:w="1243" w:type="dxa"/>
          </w:tcPr>
          <w:p>
            <w:pPr>
              <w:spacing w:line="312" w:lineRule="auto"/>
              <w:ind w:firstLine="420"/>
              <w:rPr>
                <w:color w:val="auto"/>
                <w:szCs w:val="21"/>
                <w:highlight w:val="none"/>
              </w:rPr>
            </w:pPr>
          </w:p>
        </w:tc>
        <w:tc>
          <w:tcPr>
            <w:tcW w:w="1450" w:type="dxa"/>
          </w:tcPr>
          <w:p>
            <w:pPr>
              <w:spacing w:line="312" w:lineRule="auto"/>
              <w:ind w:firstLine="420"/>
              <w:rPr>
                <w:color w:val="auto"/>
                <w:szCs w:val="21"/>
                <w:highlight w:val="none"/>
              </w:rPr>
            </w:pPr>
          </w:p>
        </w:tc>
        <w:tc>
          <w:tcPr>
            <w:tcW w:w="1670" w:type="dxa"/>
          </w:tcPr>
          <w:p>
            <w:pPr>
              <w:spacing w:line="312" w:lineRule="auto"/>
              <w:ind w:firstLine="420"/>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spacing w:line="312" w:lineRule="auto"/>
              <w:ind w:firstLine="420"/>
              <w:rPr>
                <w:color w:val="auto"/>
                <w:szCs w:val="21"/>
                <w:highlight w:val="none"/>
              </w:rPr>
            </w:pPr>
          </w:p>
        </w:tc>
        <w:tc>
          <w:tcPr>
            <w:tcW w:w="1276" w:type="dxa"/>
          </w:tcPr>
          <w:p>
            <w:pPr>
              <w:spacing w:line="312" w:lineRule="auto"/>
              <w:ind w:firstLine="420"/>
              <w:rPr>
                <w:color w:val="auto"/>
                <w:szCs w:val="21"/>
                <w:highlight w:val="none"/>
              </w:rPr>
            </w:pPr>
          </w:p>
        </w:tc>
        <w:tc>
          <w:tcPr>
            <w:tcW w:w="1450" w:type="dxa"/>
          </w:tcPr>
          <w:p>
            <w:pPr>
              <w:spacing w:line="312" w:lineRule="auto"/>
              <w:ind w:firstLine="420"/>
              <w:rPr>
                <w:color w:val="auto"/>
                <w:szCs w:val="21"/>
                <w:highlight w:val="none"/>
              </w:rPr>
            </w:pPr>
          </w:p>
        </w:tc>
        <w:tc>
          <w:tcPr>
            <w:tcW w:w="1243" w:type="dxa"/>
          </w:tcPr>
          <w:p>
            <w:pPr>
              <w:spacing w:line="312" w:lineRule="auto"/>
              <w:ind w:firstLine="420"/>
              <w:rPr>
                <w:color w:val="auto"/>
                <w:szCs w:val="21"/>
                <w:highlight w:val="none"/>
              </w:rPr>
            </w:pPr>
          </w:p>
        </w:tc>
        <w:tc>
          <w:tcPr>
            <w:tcW w:w="1450" w:type="dxa"/>
          </w:tcPr>
          <w:p>
            <w:pPr>
              <w:spacing w:line="312" w:lineRule="auto"/>
              <w:ind w:firstLine="420"/>
              <w:rPr>
                <w:color w:val="auto"/>
                <w:szCs w:val="21"/>
                <w:highlight w:val="none"/>
              </w:rPr>
            </w:pPr>
          </w:p>
        </w:tc>
        <w:tc>
          <w:tcPr>
            <w:tcW w:w="1670" w:type="dxa"/>
          </w:tcPr>
          <w:p>
            <w:pPr>
              <w:spacing w:line="312" w:lineRule="auto"/>
              <w:ind w:firstLine="420"/>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spacing w:line="312" w:lineRule="auto"/>
              <w:ind w:firstLine="420"/>
              <w:rPr>
                <w:color w:val="auto"/>
                <w:szCs w:val="21"/>
                <w:highlight w:val="none"/>
              </w:rPr>
            </w:pPr>
          </w:p>
        </w:tc>
        <w:tc>
          <w:tcPr>
            <w:tcW w:w="1276" w:type="dxa"/>
          </w:tcPr>
          <w:p>
            <w:pPr>
              <w:spacing w:line="312" w:lineRule="auto"/>
              <w:ind w:firstLine="420"/>
              <w:rPr>
                <w:color w:val="auto"/>
                <w:szCs w:val="21"/>
                <w:highlight w:val="none"/>
              </w:rPr>
            </w:pPr>
          </w:p>
        </w:tc>
        <w:tc>
          <w:tcPr>
            <w:tcW w:w="1450" w:type="dxa"/>
          </w:tcPr>
          <w:p>
            <w:pPr>
              <w:spacing w:line="312" w:lineRule="auto"/>
              <w:ind w:firstLine="420"/>
              <w:rPr>
                <w:color w:val="auto"/>
                <w:szCs w:val="21"/>
                <w:highlight w:val="none"/>
              </w:rPr>
            </w:pPr>
          </w:p>
        </w:tc>
        <w:tc>
          <w:tcPr>
            <w:tcW w:w="1243" w:type="dxa"/>
          </w:tcPr>
          <w:p>
            <w:pPr>
              <w:spacing w:line="312" w:lineRule="auto"/>
              <w:ind w:firstLine="420"/>
              <w:rPr>
                <w:color w:val="auto"/>
                <w:szCs w:val="21"/>
                <w:highlight w:val="none"/>
              </w:rPr>
            </w:pPr>
          </w:p>
        </w:tc>
        <w:tc>
          <w:tcPr>
            <w:tcW w:w="1450" w:type="dxa"/>
          </w:tcPr>
          <w:p>
            <w:pPr>
              <w:spacing w:line="312" w:lineRule="auto"/>
              <w:ind w:firstLine="420"/>
              <w:rPr>
                <w:color w:val="auto"/>
                <w:szCs w:val="21"/>
                <w:highlight w:val="none"/>
              </w:rPr>
            </w:pPr>
          </w:p>
        </w:tc>
        <w:tc>
          <w:tcPr>
            <w:tcW w:w="1670" w:type="dxa"/>
          </w:tcPr>
          <w:p>
            <w:pPr>
              <w:spacing w:line="312" w:lineRule="auto"/>
              <w:ind w:firstLine="420"/>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spacing w:line="312" w:lineRule="auto"/>
              <w:ind w:firstLine="420"/>
              <w:rPr>
                <w:color w:val="auto"/>
                <w:szCs w:val="21"/>
                <w:highlight w:val="none"/>
              </w:rPr>
            </w:pPr>
          </w:p>
        </w:tc>
        <w:tc>
          <w:tcPr>
            <w:tcW w:w="1276" w:type="dxa"/>
          </w:tcPr>
          <w:p>
            <w:pPr>
              <w:spacing w:line="312" w:lineRule="auto"/>
              <w:ind w:firstLine="420"/>
              <w:rPr>
                <w:color w:val="auto"/>
                <w:szCs w:val="21"/>
                <w:highlight w:val="none"/>
              </w:rPr>
            </w:pPr>
          </w:p>
        </w:tc>
        <w:tc>
          <w:tcPr>
            <w:tcW w:w="1450" w:type="dxa"/>
          </w:tcPr>
          <w:p>
            <w:pPr>
              <w:spacing w:line="312" w:lineRule="auto"/>
              <w:ind w:firstLine="420"/>
              <w:rPr>
                <w:color w:val="auto"/>
                <w:szCs w:val="21"/>
                <w:highlight w:val="none"/>
              </w:rPr>
            </w:pPr>
          </w:p>
        </w:tc>
        <w:tc>
          <w:tcPr>
            <w:tcW w:w="1243" w:type="dxa"/>
          </w:tcPr>
          <w:p>
            <w:pPr>
              <w:spacing w:line="312" w:lineRule="auto"/>
              <w:ind w:firstLine="420"/>
              <w:rPr>
                <w:color w:val="auto"/>
                <w:szCs w:val="21"/>
                <w:highlight w:val="none"/>
              </w:rPr>
            </w:pPr>
          </w:p>
        </w:tc>
        <w:tc>
          <w:tcPr>
            <w:tcW w:w="1450" w:type="dxa"/>
          </w:tcPr>
          <w:p>
            <w:pPr>
              <w:spacing w:line="312" w:lineRule="auto"/>
              <w:ind w:firstLine="420"/>
              <w:rPr>
                <w:color w:val="auto"/>
                <w:szCs w:val="21"/>
                <w:highlight w:val="none"/>
              </w:rPr>
            </w:pPr>
          </w:p>
        </w:tc>
        <w:tc>
          <w:tcPr>
            <w:tcW w:w="1670" w:type="dxa"/>
          </w:tcPr>
          <w:p>
            <w:pPr>
              <w:spacing w:line="312" w:lineRule="auto"/>
              <w:ind w:firstLine="420"/>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spacing w:line="312" w:lineRule="auto"/>
              <w:ind w:firstLine="420"/>
              <w:rPr>
                <w:color w:val="auto"/>
                <w:szCs w:val="21"/>
                <w:highlight w:val="none"/>
              </w:rPr>
            </w:pPr>
          </w:p>
        </w:tc>
        <w:tc>
          <w:tcPr>
            <w:tcW w:w="1276" w:type="dxa"/>
          </w:tcPr>
          <w:p>
            <w:pPr>
              <w:spacing w:line="312" w:lineRule="auto"/>
              <w:ind w:firstLine="420"/>
              <w:rPr>
                <w:color w:val="auto"/>
                <w:szCs w:val="21"/>
                <w:highlight w:val="none"/>
              </w:rPr>
            </w:pPr>
          </w:p>
        </w:tc>
        <w:tc>
          <w:tcPr>
            <w:tcW w:w="1450" w:type="dxa"/>
          </w:tcPr>
          <w:p>
            <w:pPr>
              <w:spacing w:line="312" w:lineRule="auto"/>
              <w:ind w:firstLine="420"/>
              <w:rPr>
                <w:color w:val="auto"/>
                <w:szCs w:val="21"/>
                <w:highlight w:val="none"/>
              </w:rPr>
            </w:pPr>
          </w:p>
        </w:tc>
        <w:tc>
          <w:tcPr>
            <w:tcW w:w="1243" w:type="dxa"/>
          </w:tcPr>
          <w:p>
            <w:pPr>
              <w:spacing w:line="312" w:lineRule="auto"/>
              <w:ind w:firstLine="420"/>
              <w:rPr>
                <w:color w:val="auto"/>
                <w:szCs w:val="21"/>
                <w:highlight w:val="none"/>
              </w:rPr>
            </w:pPr>
          </w:p>
        </w:tc>
        <w:tc>
          <w:tcPr>
            <w:tcW w:w="1450" w:type="dxa"/>
          </w:tcPr>
          <w:p>
            <w:pPr>
              <w:spacing w:line="312" w:lineRule="auto"/>
              <w:ind w:firstLine="420"/>
              <w:rPr>
                <w:color w:val="auto"/>
                <w:szCs w:val="21"/>
                <w:highlight w:val="none"/>
              </w:rPr>
            </w:pPr>
          </w:p>
        </w:tc>
        <w:tc>
          <w:tcPr>
            <w:tcW w:w="1670" w:type="dxa"/>
          </w:tcPr>
          <w:p>
            <w:pPr>
              <w:spacing w:line="312" w:lineRule="auto"/>
              <w:ind w:firstLine="420"/>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spacing w:line="312" w:lineRule="auto"/>
              <w:ind w:firstLine="420"/>
              <w:rPr>
                <w:color w:val="auto"/>
                <w:szCs w:val="21"/>
                <w:highlight w:val="none"/>
              </w:rPr>
            </w:pPr>
          </w:p>
        </w:tc>
        <w:tc>
          <w:tcPr>
            <w:tcW w:w="1276" w:type="dxa"/>
          </w:tcPr>
          <w:p>
            <w:pPr>
              <w:spacing w:line="312" w:lineRule="auto"/>
              <w:ind w:firstLine="420"/>
              <w:rPr>
                <w:color w:val="auto"/>
                <w:szCs w:val="21"/>
                <w:highlight w:val="none"/>
              </w:rPr>
            </w:pPr>
          </w:p>
        </w:tc>
        <w:tc>
          <w:tcPr>
            <w:tcW w:w="1450" w:type="dxa"/>
          </w:tcPr>
          <w:p>
            <w:pPr>
              <w:spacing w:line="312" w:lineRule="auto"/>
              <w:ind w:firstLine="420"/>
              <w:rPr>
                <w:color w:val="auto"/>
                <w:szCs w:val="21"/>
                <w:highlight w:val="none"/>
              </w:rPr>
            </w:pPr>
          </w:p>
        </w:tc>
        <w:tc>
          <w:tcPr>
            <w:tcW w:w="1243" w:type="dxa"/>
          </w:tcPr>
          <w:p>
            <w:pPr>
              <w:spacing w:line="312" w:lineRule="auto"/>
              <w:ind w:firstLine="420"/>
              <w:rPr>
                <w:color w:val="auto"/>
                <w:szCs w:val="21"/>
                <w:highlight w:val="none"/>
              </w:rPr>
            </w:pPr>
          </w:p>
        </w:tc>
        <w:tc>
          <w:tcPr>
            <w:tcW w:w="1450" w:type="dxa"/>
          </w:tcPr>
          <w:p>
            <w:pPr>
              <w:spacing w:line="312" w:lineRule="auto"/>
              <w:ind w:firstLine="420"/>
              <w:rPr>
                <w:color w:val="auto"/>
                <w:szCs w:val="21"/>
                <w:highlight w:val="none"/>
              </w:rPr>
            </w:pPr>
          </w:p>
        </w:tc>
        <w:tc>
          <w:tcPr>
            <w:tcW w:w="1670" w:type="dxa"/>
          </w:tcPr>
          <w:p>
            <w:pPr>
              <w:spacing w:line="312" w:lineRule="auto"/>
              <w:ind w:firstLine="420"/>
              <w:rPr>
                <w:color w:val="auto"/>
                <w:szCs w:val="21"/>
                <w:highlight w:val="none"/>
              </w:rPr>
            </w:pPr>
          </w:p>
        </w:tc>
      </w:tr>
    </w:tbl>
    <w:p>
      <w:pPr>
        <w:spacing w:line="312" w:lineRule="auto"/>
        <w:ind w:firstLine="420"/>
        <w:rPr>
          <w:color w:val="auto"/>
          <w:szCs w:val="21"/>
          <w:highlight w:val="none"/>
        </w:rPr>
      </w:pPr>
    </w:p>
    <w:p>
      <w:pPr>
        <w:spacing w:line="312" w:lineRule="auto"/>
        <w:ind w:firstLine="420"/>
        <w:rPr>
          <w:color w:val="auto"/>
          <w:szCs w:val="21"/>
          <w:highlight w:val="none"/>
        </w:rPr>
      </w:pPr>
    </w:p>
    <w:p>
      <w:pPr>
        <w:spacing w:line="312" w:lineRule="auto"/>
        <w:ind w:firstLine="420"/>
        <w:rPr>
          <w:color w:val="auto"/>
          <w:szCs w:val="21"/>
          <w:highlight w:val="none"/>
        </w:rPr>
        <w:sectPr>
          <w:pgSz w:w="11906" w:h="16838"/>
          <w:pgMar w:top="1440" w:right="1800" w:bottom="1440" w:left="1800" w:header="720" w:footer="998" w:gutter="0"/>
          <w:cols w:space="720" w:num="1"/>
          <w:docGrid w:linePitch="326" w:charSpace="0"/>
        </w:sectPr>
      </w:pPr>
    </w:p>
    <w:p>
      <w:pPr>
        <w:pStyle w:val="255"/>
        <w:numPr>
          <w:ilvl w:val="0"/>
          <w:numId w:val="0"/>
        </w:numPr>
        <w:wordWrap/>
        <w:spacing w:after="120" w:line="312" w:lineRule="auto"/>
        <w:jc w:val="left"/>
        <w:outlineLvl w:val="9"/>
        <w:rPr>
          <w:rFonts w:ascii="宋体" w:hAnsi="宋体" w:eastAsia="宋体"/>
          <w:b w:val="0"/>
          <w:bCs/>
          <w:color w:val="auto"/>
          <w:sz w:val="21"/>
          <w:szCs w:val="21"/>
          <w:highlight w:val="none"/>
        </w:rPr>
      </w:pPr>
      <w:bookmarkStart w:id="64" w:name="_Toc20171897"/>
      <w:bookmarkStart w:id="65" w:name="_Toc54862356"/>
      <w:r>
        <w:rPr>
          <w:rFonts w:hint="eastAsia" w:ascii="宋体" w:hAnsi="宋体" w:eastAsia="宋体"/>
          <w:b w:val="0"/>
          <w:bCs/>
          <w:color w:val="auto"/>
          <w:sz w:val="21"/>
          <w:szCs w:val="21"/>
          <w:highlight w:val="none"/>
        </w:rPr>
        <w:t>附件</w:t>
      </w:r>
      <w:r>
        <w:rPr>
          <w:rFonts w:ascii="宋体" w:hAnsi="宋体" w:eastAsia="宋体"/>
          <w:b w:val="0"/>
          <w:bCs/>
          <w:color w:val="auto"/>
          <w:sz w:val="21"/>
          <w:szCs w:val="21"/>
          <w:highlight w:val="none"/>
        </w:rPr>
        <w:t>3</w:t>
      </w:r>
      <w:r>
        <w:rPr>
          <w:rFonts w:hint="eastAsia" w:ascii="宋体" w:hAnsi="宋体" w:eastAsia="宋体"/>
          <w:b w:val="0"/>
          <w:bCs/>
          <w:color w:val="auto"/>
          <w:sz w:val="21"/>
          <w:szCs w:val="21"/>
          <w:highlight w:val="none"/>
        </w:rPr>
        <w:t>：</w:t>
      </w:r>
    </w:p>
    <w:p>
      <w:pPr>
        <w:pStyle w:val="255"/>
        <w:numPr>
          <w:ilvl w:val="0"/>
          <w:numId w:val="0"/>
        </w:numPr>
        <w:wordWrap/>
        <w:spacing w:after="120" w:line="312" w:lineRule="auto"/>
        <w:outlineLvl w:val="9"/>
        <w:rPr>
          <w:rFonts w:ascii="宋体" w:hAnsi="宋体" w:eastAsia="宋体"/>
          <w:color w:val="auto"/>
          <w:sz w:val="21"/>
          <w:szCs w:val="21"/>
          <w:highlight w:val="none"/>
        </w:rPr>
      </w:pPr>
      <w:r>
        <w:rPr>
          <w:rFonts w:ascii="宋体" w:hAnsi="宋体" w:eastAsia="宋体"/>
          <w:color w:val="auto"/>
          <w:sz w:val="21"/>
          <w:szCs w:val="21"/>
          <w:highlight w:val="none"/>
        </w:rPr>
        <w:t xml:space="preserve"> </w:t>
      </w:r>
      <w:r>
        <w:rPr>
          <w:rFonts w:ascii="宋体" w:hAnsi="宋体" w:eastAsia="宋体" w:cs="黑体"/>
          <w:bCs/>
          <w:color w:val="auto"/>
          <w:kern w:val="2"/>
          <w:sz w:val="32"/>
          <w:szCs w:val="32"/>
          <w:highlight w:val="none"/>
        </w:rPr>
        <w:t>承包人主要管理人员表</w:t>
      </w:r>
      <w:bookmarkEnd w:id="64"/>
      <w:bookmarkEnd w:id="65"/>
    </w:p>
    <w:tbl>
      <w:tblPr>
        <w:tblStyle w:val="4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05"/>
        <w:gridCol w:w="1418"/>
        <w:gridCol w:w="1134"/>
        <w:gridCol w:w="1134"/>
        <w:gridCol w:w="38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12" w:space="0"/>
              <w:bottom w:val="double" w:color="auto" w:sz="6" w:space="0"/>
            </w:tcBorders>
            <w:vAlign w:val="center"/>
          </w:tcPr>
          <w:p>
            <w:pPr>
              <w:pStyle w:val="20"/>
              <w:spacing w:line="312" w:lineRule="auto"/>
              <w:ind w:firstLine="420"/>
              <w:rPr>
                <w:rFonts w:ascii="宋体" w:hAnsi="宋体"/>
                <w:color w:val="auto"/>
                <w:szCs w:val="21"/>
                <w:highlight w:val="none"/>
              </w:rPr>
            </w:pPr>
            <w:r>
              <w:rPr>
                <w:rFonts w:hint="eastAsia" w:ascii="宋体" w:hAnsi="宋体"/>
                <w:color w:val="auto"/>
                <w:szCs w:val="21"/>
                <w:highlight w:val="none"/>
              </w:rPr>
              <w:t>名    称</w:t>
            </w:r>
          </w:p>
        </w:tc>
        <w:tc>
          <w:tcPr>
            <w:tcW w:w="1418" w:type="dxa"/>
            <w:tcBorders>
              <w:top w:val="single" w:color="auto" w:sz="12" w:space="0"/>
              <w:bottom w:val="double" w:color="auto" w:sz="6" w:space="0"/>
            </w:tcBorders>
            <w:vAlign w:val="center"/>
          </w:tcPr>
          <w:p>
            <w:pPr>
              <w:pStyle w:val="20"/>
              <w:spacing w:line="312" w:lineRule="auto"/>
              <w:ind w:firstLine="420"/>
              <w:rPr>
                <w:rFonts w:ascii="宋体" w:hAnsi="宋体"/>
                <w:color w:val="auto"/>
                <w:szCs w:val="21"/>
                <w:highlight w:val="none"/>
              </w:rPr>
            </w:pPr>
            <w:r>
              <w:rPr>
                <w:rFonts w:hint="eastAsia" w:ascii="宋体" w:hAnsi="宋体"/>
                <w:color w:val="auto"/>
                <w:szCs w:val="21"/>
                <w:highlight w:val="none"/>
              </w:rPr>
              <w:t>姓名</w:t>
            </w:r>
          </w:p>
        </w:tc>
        <w:tc>
          <w:tcPr>
            <w:tcW w:w="1134" w:type="dxa"/>
            <w:tcBorders>
              <w:top w:val="single" w:color="auto" w:sz="12" w:space="0"/>
              <w:bottom w:val="double" w:color="auto" w:sz="6" w:space="0"/>
            </w:tcBorders>
            <w:vAlign w:val="center"/>
          </w:tcPr>
          <w:p>
            <w:pPr>
              <w:pStyle w:val="20"/>
              <w:spacing w:line="312" w:lineRule="auto"/>
              <w:ind w:firstLine="420"/>
              <w:rPr>
                <w:rFonts w:ascii="宋体" w:hAnsi="宋体"/>
                <w:color w:val="auto"/>
                <w:szCs w:val="21"/>
                <w:highlight w:val="none"/>
              </w:rPr>
            </w:pPr>
            <w:r>
              <w:rPr>
                <w:rFonts w:hint="eastAsia" w:ascii="宋体" w:hAnsi="宋体"/>
                <w:color w:val="auto"/>
                <w:szCs w:val="21"/>
                <w:highlight w:val="none"/>
              </w:rPr>
              <w:t>职务</w:t>
            </w:r>
          </w:p>
        </w:tc>
        <w:tc>
          <w:tcPr>
            <w:tcW w:w="1134" w:type="dxa"/>
            <w:tcBorders>
              <w:top w:val="single" w:color="auto" w:sz="12" w:space="0"/>
              <w:bottom w:val="double" w:color="auto" w:sz="6" w:space="0"/>
            </w:tcBorders>
            <w:vAlign w:val="center"/>
          </w:tcPr>
          <w:p>
            <w:pPr>
              <w:pStyle w:val="20"/>
              <w:spacing w:line="312" w:lineRule="auto"/>
              <w:ind w:firstLine="420"/>
              <w:rPr>
                <w:rFonts w:ascii="宋体" w:hAnsi="宋体"/>
                <w:color w:val="auto"/>
                <w:szCs w:val="21"/>
                <w:highlight w:val="none"/>
              </w:rPr>
            </w:pPr>
            <w:r>
              <w:rPr>
                <w:rFonts w:hint="eastAsia" w:ascii="宋体" w:hAnsi="宋体"/>
                <w:color w:val="auto"/>
                <w:szCs w:val="21"/>
                <w:highlight w:val="none"/>
              </w:rPr>
              <w:t>职称</w:t>
            </w:r>
          </w:p>
        </w:tc>
        <w:tc>
          <w:tcPr>
            <w:tcW w:w="3896" w:type="dxa"/>
            <w:tcBorders>
              <w:top w:val="single" w:color="auto" w:sz="12" w:space="0"/>
              <w:bottom w:val="double" w:color="auto" w:sz="6" w:space="0"/>
            </w:tcBorders>
            <w:vAlign w:val="center"/>
          </w:tcPr>
          <w:p>
            <w:pPr>
              <w:pStyle w:val="20"/>
              <w:spacing w:line="312" w:lineRule="auto"/>
              <w:ind w:firstLine="420"/>
              <w:rPr>
                <w:rFonts w:ascii="宋体" w:hAnsi="宋体"/>
                <w:color w:val="auto"/>
                <w:szCs w:val="21"/>
                <w:highlight w:val="none"/>
              </w:rPr>
            </w:pPr>
            <w:r>
              <w:rPr>
                <w:rFonts w:hint="eastAsia" w:ascii="宋体" w:hAnsi="宋体"/>
                <w:color w:val="auto"/>
                <w:szCs w:val="21"/>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double" w:color="auto" w:sz="6" w:space="0"/>
              <w:bottom w:val="single" w:color="auto" w:sz="6" w:space="0"/>
            </w:tcBorders>
            <w:vAlign w:val="center"/>
          </w:tcPr>
          <w:p>
            <w:pPr>
              <w:pStyle w:val="20"/>
              <w:spacing w:line="312" w:lineRule="auto"/>
              <w:ind w:firstLine="420"/>
              <w:rPr>
                <w:rFonts w:ascii="宋体" w:hAnsi="宋体"/>
                <w:color w:val="auto"/>
                <w:szCs w:val="21"/>
                <w:highlight w:val="none"/>
              </w:rPr>
            </w:pPr>
            <w:r>
              <w:rPr>
                <w:rFonts w:hint="eastAsia" w:ascii="宋体" w:hAnsi="宋体"/>
                <w:color w:val="auto"/>
                <w:szCs w:val="21"/>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pPr>
              <w:pStyle w:val="20"/>
              <w:spacing w:line="312" w:lineRule="auto"/>
              <w:jc w:val="center"/>
              <w:rPr>
                <w:rFonts w:ascii="宋体" w:hAnsi="宋体"/>
                <w:color w:val="auto"/>
                <w:szCs w:val="21"/>
                <w:highlight w:val="none"/>
              </w:rPr>
            </w:pPr>
            <w:r>
              <w:rPr>
                <w:rFonts w:hint="eastAsia" w:ascii="宋体" w:hAnsi="宋体"/>
                <w:color w:val="auto"/>
                <w:szCs w:val="21"/>
                <w:highlight w:val="none"/>
              </w:rPr>
              <w:t>项目主管</w:t>
            </w:r>
          </w:p>
        </w:tc>
        <w:tc>
          <w:tcPr>
            <w:tcW w:w="1418" w:type="dxa"/>
            <w:tcBorders>
              <w:top w:val="nil"/>
            </w:tcBorders>
            <w:vAlign w:val="center"/>
          </w:tcPr>
          <w:p>
            <w:pPr>
              <w:pStyle w:val="20"/>
              <w:spacing w:line="312" w:lineRule="auto"/>
              <w:ind w:firstLine="420"/>
              <w:rPr>
                <w:rFonts w:ascii="宋体" w:hAnsi="宋体"/>
                <w:color w:val="auto"/>
                <w:szCs w:val="21"/>
                <w:highlight w:val="none"/>
              </w:rPr>
            </w:pPr>
          </w:p>
        </w:tc>
        <w:tc>
          <w:tcPr>
            <w:tcW w:w="1134" w:type="dxa"/>
            <w:tcBorders>
              <w:top w:val="nil"/>
            </w:tcBorders>
            <w:vAlign w:val="center"/>
          </w:tcPr>
          <w:p>
            <w:pPr>
              <w:pStyle w:val="20"/>
              <w:spacing w:line="312" w:lineRule="auto"/>
              <w:ind w:firstLine="420"/>
              <w:rPr>
                <w:rFonts w:ascii="宋体" w:hAnsi="宋体"/>
                <w:color w:val="auto"/>
                <w:szCs w:val="21"/>
                <w:highlight w:val="none"/>
              </w:rPr>
            </w:pPr>
          </w:p>
        </w:tc>
        <w:tc>
          <w:tcPr>
            <w:tcW w:w="1134" w:type="dxa"/>
            <w:tcBorders>
              <w:top w:val="nil"/>
            </w:tcBorders>
            <w:vAlign w:val="center"/>
          </w:tcPr>
          <w:p>
            <w:pPr>
              <w:pStyle w:val="20"/>
              <w:spacing w:line="312" w:lineRule="auto"/>
              <w:ind w:firstLine="420"/>
              <w:rPr>
                <w:rFonts w:ascii="宋体" w:hAnsi="宋体"/>
                <w:color w:val="auto"/>
                <w:szCs w:val="21"/>
                <w:highlight w:val="none"/>
              </w:rPr>
            </w:pPr>
          </w:p>
        </w:tc>
        <w:tc>
          <w:tcPr>
            <w:tcW w:w="3896" w:type="dxa"/>
            <w:tcBorders>
              <w:top w:val="nil"/>
            </w:tcBorders>
            <w:vAlign w:val="center"/>
          </w:tcPr>
          <w:p>
            <w:pPr>
              <w:pStyle w:val="20"/>
              <w:spacing w:line="312" w:lineRule="auto"/>
              <w:ind w:firstLine="42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nil"/>
            </w:tcBorders>
            <w:vAlign w:val="center"/>
          </w:tcPr>
          <w:p>
            <w:pPr>
              <w:pStyle w:val="20"/>
              <w:spacing w:line="312" w:lineRule="auto"/>
              <w:ind w:firstLine="420"/>
              <w:rPr>
                <w:rFonts w:ascii="宋体" w:hAnsi="宋体"/>
                <w:color w:val="auto"/>
                <w:szCs w:val="21"/>
                <w:highlight w:val="none"/>
              </w:rPr>
            </w:pPr>
          </w:p>
        </w:tc>
        <w:tc>
          <w:tcPr>
            <w:tcW w:w="1418" w:type="dxa"/>
            <w:vAlign w:val="center"/>
          </w:tcPr>
          <w:p>
            <w:pPr>
              <w:pStyle w:val="20"/>
              <w:spacing w:line="312" w:lineRule="auto"/>
              <w:ind w:firstLine="420"/>
              <w:rPr>
                <w:rFonts w:ascii="宋体" w:hAnsi="宋体"/>
                <w:color w:val="auto"/>
                <w:szCs w:val="21"/>
                <w:highlight w:val="none"/>
              </w:rPr>
            </w:pPr>
          </w:p>
        </w:tc>
        <w:tc>
          <w:tcPr>
            <w:tcW w:w="1134" w:type="dxa"/>
            <w:vAlign w:val="center"/>
          </w:tcPr>
          <w:p>
            <w:pPr>
              <w:pStyle w:val="20"/>
              <w:spacing w:line="312" w:lineRule="auto"/>
              <w:ind w:firstLine="420"/>
              <w:rPr>
                <w:rFonts w:ascii="宋体" w:hAnsi="宋体"/>
                <w:color w:val="auto"/>
                <w:szCs w:val="21"/>
                <w:highlight w:val="none"/>
              </w:rPr>
            </w:pPr>
          </w:p>
        </w:tc>
        <w:tc>
          <w:tcPr>
            <w:tcW w:w="1134" w:type="dxa"/>
            <w:vAlign w:val="center"/>
          </w:tcPr>
          <w:p>
            <w:pPr>
              <w:pStyle w:val="20"/>
              <w:spacing w:line="312" w:lineRule="auto"/>
              <w:ind w:firstLine="420"/>
              <w:rPr>
                <w:rFonts w:ascii="宋体" w:hAnsi="宋体"/>
                <w:color w:val="auto"/>
                <w:szCs w:val="21"/>
                <w:highlight w:val="none"/>
              </w:rPr>
            </w:pPr>
          </w:p>
        </w:tc>
        <w:tc>
          <w:tcPr>
            <w:tcW w:w="3896" w:type="dxa"/>
            <w:vAlign w:val="center"/>
          </w:tcPr>
          <w:p>
            <w:pPr>
              <w:pStyle w:val="20"/>
              <w:spacing w:line="312" w:lineRule="auto"/>
              <w:ind w:firstLine="42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pPr>
              <w:pStyle w:val="20"/>
              <w:spacing w:line="312" w:lineRule="auto"/>
              <w:jc w:val="center"/>
              <w:rPr>
                <w:rFonts w:ascii="宋体" w:hAnsi="宋体"/>
                <w:color w:val="auto"/>
                <w:szCs w:val="21"/>
                <w:highlight w:val="none"/>
              </w:rPr>
            </w:pPr>
            <w:r>
              <w:rPr>
                <w:rFonts w:hint="eastAsia" w:ascii="宋体" w:hAnsi="宋体"/>
                <w:color w:val="auto"/>
                <w:szCs w:val="21"/>
                <w:highlight w:val="none"/>
              </w:rPr>
              <w:t>其他人员</w:t>
            </w:r>
          </w:p>
        </w:tc>
        <w:tc>
          <w:tcPr>
            <w:tcW w:w="1418" w:type="dxa"/>
            <w:vAlign w:val="center"/>
          </w:tcPr>
          <w:p>
            <w:pPr>
              <w:pStyle w:val="20"/>
              <w:spacing w:line="312" w:lineRule="auto"/>
              <w:ind w:firstLine="420"/>
              <w:rPr>
                <w:rFonts w:ascii="宋体" w:hAnsi="宋体"/>
                <w:color w:val="auto"/>
                <w:szCs w:val="21"/>
                <w:highlight w:val="none"/>
              </w:rPr>
            </w:pPr>
          </w:p>
        </w:tc>
        <w:tc>
          <w:tcPr>
            <w:tcW w:w="1134" w:type="dxa"/>
            <w:vAlign w:val="center"/>
          </w:tcPr>
          <w:p>
            <w:pPr>
              <w:pStyle w:val="20"/>
              <w:spacing w:line="312" w:lineRule="auto"/>
              <w:ind w:firstLine="420"/>
              <w:rPr>
                <w:rFonts w:ascii="宋体" w:hAnsi="宋体"/>
                <w:color w:val="auto"/>
                <w:szCs w:val="21"/>
                <w:highlight w:val="none"/>
              </w:rPr>
            </w:pPr>
          </w:p>
        </w:tc>
        <w:tc>
          <w:tcPr>
            <w:tcW w:w="1134" w:type="dxa"/>
            <w:vAlign w:val="center"/>
          </w:tcPr>
          <w:p>
            <w:pPr>
              <w:pStyle w:val="20"/>
              <w:spacing w:line="312" w:lineRule="auto"/>
              <w:ind w:firstLine="420"/>
              <w:rPr>
                <w:rFonts w:ascii="宋体" w:hAnsi="宋体"/>
                <w:color w:val="auto"/>
                <w:szCs w:val="21"/>
                <w:highlight w:val="none"/>
              </w:rPr>
            </w:pPr>
          </w:p>
        </w:tc>
        <w:tc>
          <w:tcPr>
            <w:tcW w:w="3896" w:type="dxa"/>
            <w:vAlign w:val="center"/>
          </w:tcPr>
          <w:p>
            <w:pPr>
              <w:pStyle w:val="20"/>
              <w:spacing w:line="312" w:lineRule="auto"/>
              <w:ind w:firstLine="42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pPr>
              <w:pStyle w:val="20"/>
              <w:spacing w:line="312" w:lineRule="auto"/>
              <w:ind w:firstLine="420"/>
              <w:rPr>
                <w:rFonts w:ascii="宋体" w:hAnsi="宋体"/>
                <w:color w:val="auto"/>
                <w:szCs w:val="21"/>
                <w:highlight w:val="none"/>
              </w:rPr>
            </w:pPr>
          </w:p>
        </w:tc>
        <w:tc>
          <w:tcPr>
            <w:tcW w:w="1418" w:type="dxa"/>
            <w:vAlign w:val="center"/>
          </w:tcPr>
          <w:p>
            <w:pPr>
              <w:pStyle w:val="20"/>
              <w:spacing w:line="312" w:lineRule="auto"/>
              <w:ind w:firstLine="420"/>
              <w:rPr>
                <w:rFonts w:ascii="宋体" w:hAnsi="宋体"/>
                <w:color w:val="auto"/>
                <w:szCs w:val="21"/>
                <w:highlight w:val="none"/>
              </w:rPr>
            </w:pPr>
          </w:p>
        </w:tc>
        <w:tc>
          <w:tcPr>
            <w:tcW w:w="1134" w:type="dxa"/>
            <w:vAlign w:val="center"/>
          </w:tcPr>
          <w:p>
            <w:pPr>
              <w:pStyle w:val="20"/>
              <w:spacing w:line="312" w:lineRule="auto"/>
              <w:ind w:firstLine="420"/>
              <w:rPr>
                <w:rFonts w:ascii="宋体" w:hAnsi="宋体"/>
                <w:color w:val="auto"/>
                <w:szCs w:val="21"/>
                <w:highlight w:val="none"/>
              </w:rPr>
            </w:pPr>
          </w:p>
        </w:tc>
        <w:tc>
          <w:tcPr>
            <w:tcW w:w="1134" w:type="dxa"/>
            <w:vAlign w:val="center"/>
          </w:tcPr>
          <w:p>
            <w:pPr>
              <w:pStyle w:val="20"/>
              <w:spacing w:line="312" w:lineRule="auto"/>
              <w:ind w:firstLine="420"/>
              <w:rPr>
                <w:rFonts w:ascii="宋体" w:hAnsi="宋体"/>
                <w:color w:val="auto"/>
                <w:szCs w:val="21"/>
                <w:highlight w:val="none"/>
              </w:rPr>
            </w:pPr>
          </w:p>
        </w:tc>
        <w:tc>
          <w:tcPr>
            <w:tcW w:w="3896" w:type="dxa"/>
            <w:vAlign w:val="center"/>
          </w:tcPr>
          <w:p>
            <w:pPr>
              <w:pStyle w:val="20"/>
              <w:spacing w:line="312" w:lineRule="auto"/>
              <w:ind w:firstLine="42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single" w:color="auto" w:sz="6" w:space="0"/>
              <w:bottom w:val="single" w:color="auto" w:sz="6" w:space="0"/>
            </w:tcBorders>
            <w:vAlign w:val="center"/>
          </w:tcPr>
          <w:p>
            <w:pPr>
              <w:pStyle w:val="20"/>
              <w:spacing w:line="312" w:lineRule="auto"/>
              <w:ind w:firstLine="420"/>
              <w:rPr>
                <w:rFonts w:ascii="宋体" w:hAnsi="宋体"/>
                <w:color w:val="auto"/>
                <w:szCs w:val="21"/>
                <w:highlight w:val="none"/>
              </w:rPr>
            </w:pPr>
            <w:r>
              <w:rPr>
                <w:rFonts w:hint="eastAsia" w:ascii="宋体" w:hAnsi="宋体"/>
                <w:color w:val="auto"/>
                <w:szCs w:val="21"/>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20"/>
              <w:spacing w:line="312" w:lineRule="auto"/>
              <w:jc w:val="center"/>
              <w:rPr>
                <w:rFonts w:ascii="宋体" w:hAnsi="宋体"/>
                <w:color w:val="auto"/>
                <w:szCs w:val="21"/>
                <w:highlight w:val="none"/>
              </w:rPr>
            </w:pPr>
            <w:r>
              <w:rPr>
                <w:rFonts w:hint="eastAsia" w:ascii="宋体" w:hAnsi="宋体"/>
                <w:color w:val="auto"/>
                <w:szCs w:val="21"/>
                <w:highlight w:val="none"/>
              </w:rPr>
              <w:t>工程总承包</w:t>
            </w:r>
          </w:p>
          <w:p>
            <w:pPr>
              <w:pStyle w:val="20"/>
              <w:spacing w:line="312" w:lineRule="auto"/>
              <w:jc w:val="center"/>
              <w:rPr>
                <w:rFonts w:ascii="宋体" w:hAnsi="宋体"/>
                <w:color w:val="auto"/>
                <w:szCs w:val="21"/>
                <w:highlight w:val="none"/>
              </w:rPr>
            </w:pPr>
            <w:r>
              <w:rPr>
                <w:rFonts w:hint="eastAsia" w:ascii="宋体" w:hAnsi="宋体"/>
                <w:color w:val="auto"/>
                <w:szCs w:val="21"/>
                <w:highlight w:val="none"/>
              </w:rPr>
              <w:t>项目经理</w:t>
            </w:r>
          </w:p>
        </w:tc>
        <w:tc>
          <w:tcPr>
            <w:tcW w:w="1418" w:type="dxa"/>
            <w:vAlign w:val="center"/>
          </w:tcPr>
          <w:p>
            <w:pPr>
              <w:pStyle w:val="20"/>
              <w:spacing w:line="312" w:lineRule="auto"/>
              <w:ind w:firstLine="420"/>
              <w:rPr>
                <w:rFonts w:ascii="宋体" w:hAnsi="宋体"/>
                <w:color w:val="auto"/>
                <w:szCs w:val="21"/>
                <w:highlight w:val="none"/>
              </w:rPr>
            </w:pPr>
          </w:p>
        </w:tc>
        <w:tc>
          <w:tcPr>
            <w:tcW w:w="1134" w:type="dxa"/>
            <w:vAlign w:val="center"/>
          </w:tcPr>
          <w:p>
            <w:pPr>
              <w:pStyle w:val="20"/>
              <w:spacing w:line="312" w:lineRule="auto"/>
              <w:ind w:firstLine="420"/>
              <w:rPr>
                <w:rFonts w:ascii="宋体" w:hAnsi="宋体"/>
                <w:color w:val="auto"/>
                <w:szCs w:val="21"/>
                <w:highlight w:val="none"/>
              </w:rPr>
            </w:pPr>
          </w:p>
        </w:tc>
        <w:tc>
          <w:tcPr>
            <w:tcW w:w="1134" w:type="dxa"/>
            <w:vAlign w:val="center"/>
          </w:tcPr>
          <w:p>
            <w:pPr>
              <w:pStyle w:val="20"/>
              <w:spacing w:line="312" w:lineRule="auto"/>
              <w:ind w:firstLine="420"/>
              <w:rPr>
                <w:rFonts w:ascii="宋体" w:hAnsi="宋体"/>
                <w:color w:val="auto"/>
                <w:szCs w:val="21"/>
                <w:highlight w:val="none"/>
              </w:rPr>
            </w:pPr>
          </w:p>
        </w:tc>
        <w:tc>
          <w:tcPr>
            <w:tcW w:w="3896" w:type="dxa"/>
            <w:vAlign w:val="center"/>
          </w:tcPr>
          <w:p>
            <w:pPr>
              <w:pStyle w:val="20"/>
              <w:spacing w:line="312" w:lineRule="auto"/>
              <w:ind w:firstLine="420"/>
              <w:rPr>
                <w:rFonts w:ascii="宋体" w:hAnsi="宋体"/>
                <w:color w:val="auto"/>
                <w:szCs w:val="21"/>
                <w:highlight w:val="none"/>
              </w:rPr>
            </w:pPr>
          </w:p>
          <w:p>
            <w:pPr>
              <w:pStyle w:val="20"/>
              <w:spacing w:line="312" w:lineRule="auto"/>
              <w:ind w:firstLine="42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20"/>
              <w:spacing w:line="312" w:lineRule="auto"/>
              <w:jc w:val="center"/>
              <w:rPr>
                <w:rFonts w:ascii="宋体" w:hAnsi="宋体"/>
                <w:color w:val="auto"/>
                <w:szCs w:val="21"/>
                <w:highlight w:val="none"/>
              </w:rPr>
            </w:pPr>
            <w:r>
              <w:rPr>
                <w:rFonts w:hint="eastAsia" w:ascii="宋体" w:hAnsi="宋体"/>
                <w:color w:val="auto"/>
                <w:szCs w:val="21"/>
                <w:highlight w:val="none"/>
              </w:rPr>
              <w:t>项目副经理</w:t>
            </w:r>
          </w:p>
        </w:tc>
        <w:tc>
          <w:tcPr>
            <w:tcW w:w="1418" w:type="dxa"/>
            <w:vAlign w:val="center"/>
          </w:tcPr>
          <w:p>
            <w:pPr>
              <w:pStyle w:val="20"/>
              <w:spacing w:line="312" w:lineRule="auto"/>
              <w:ind w:firstLine="420"/>
              <w:rPr>
                <w:rFonts w:ascii="宋体" w:hAnsi="宋体"/>
                <w:color w:val="auto"/>
                <w:szCs w:val="21"/>
                <w:highlight w:val="none"/>
              </w:rPr>
            </w:pPr>
          </w:p>
        </w:tc>
        <w:tc>
          <w:tcPr>
            <w:tcW w:w="1134" w:type="dxa"/>
            <w:vAlign w:val="center"/>
          </w:tcPr>
          <w:p>
            <w:pPr>
              <w:pStyle w:val="20"/>
              <w:spacing w:line="312" w:lineRule="auto"/>
              <w:ind w:firstLine="420"/>
              <w:rPr>
                <w:rFonts w:ascii="宋体" w:hAnsi="宋体"/>
                <w:color w:val="auto"/>
                <w:szCs w:val="21"/>
                <w:highlight w:val="none"/>
              </w:rPr>
            </w:pPr>
          </w:p>
        </w:tc>
        <w:tc>
          <w:tcPr>
            <w:tcW w:w="1134" w:type="dxa"/>
            <w:vAlign w:val="center"/>
          </w:tcPr>
          <w:p>
            <w:pPr>
              <w:pStyle w:val="20"/>
              <w:spacing w:line="312" w:lineRule="auto"/>
              <w:ind w:firstLine="420"/>
              <w:rPr>
                <w:rFonts w:ascii="宋体" w:hAnsi="宋体"/>
                <w:color w:val="auto"/>
                <w:szCs w:val="21"/>
                <w:highlight w:val="none"/>
              </w:rPr>
            </w:pPr>
          </w:p>
        </w:tc>
        <w:tc>
          <w:tcPr>
            <w:tcW w:w="3896" w:type="dxa"/>
            <w:vAlign w:val="center"/>
          </w:tcPr>
          <w:p>
            <w:pPr>
              <w:pStyle w:val="20"/>
              <w:spacing w:line="312" w:lineRule="auto"/>
              <w:ind w:firstLine="42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20"/>
              <w:spacing w:line="312" w:lineRule="auto"/>
              <w:jc w:val="center"/>
              <w:rPr>
                <w:rFonts w:ascii="宋体" w:hAnsi="宋体"/>
                <w:color w:val="auto"/>
                <w:szCs w:val="21"/>
                <w:highlight w:val="none"/>
              </w:rPr>
            </w:pPr>
            <w:r>
              <w:rPr>
                <w:rFonts w:hint="eastAsia" w:ascii="宋体" w:hAnsi="宋体"/>
                <w:color w:val="auto"/>
                <w:szCs w:val="21"/>
                <w:highlight w:val="none"/>
              </w:rPr>
              <w:t>设计负责人</w:t>
            </w:r>
          </w:p>
        </w:tc>
        <w:tc>
          <w:tcPr>
            <w:tcW w:w="1418" w:type="dxa"/>
            <w:vAlign w:val="center"/>
          </w:tcPr>
          <w:p>
            <w:pPr>
              <w:pStyle w:val="20"/>
              <w:spacing w:line="312" w:lineRule="auto"/>
              <w:ind w:firstLine="420"/>
              <w:rPr>
                <w:rFonts w:ascii="宋体" w:hAnsi="宋体"/>
                <w:color w:val="auto"/>
                <w:szCs w:val="21"/>
                <w:highlight w:val="none"/>
              </w:rPr>
            </w:pPr>
          </w:p>
        </w:tc>
        <w:tc>
          <w:tcPr>
            <w:tcW w:w="1134" w:type="dxa"/>
            <w:vAlign w:val="center"/>
          </w:tcPr>
          <w:p>
            <w:pPr>
              <w:pStyle w:val="20"/>
              <w:spacing w:line="312" w:lineRule="auto"/>
              <w:ind w:firstLine="420"/>
              <w:rPr>
                <w:rFonts w:ascii="宋体" w:hAnsi="宋体"/>
                <w:color w:val="auto"/>
                <w:szCs w:val="21"/>
                <w:highlight w:val="none"/>
              </w:rPr>
            </w:pPr>
          </w:p>
        </w:tc>
        <w:tc>
          <w:tcPr>
            <w:tcW w:w="1134" w:type="dxa"/>
            <w:vAlign w:val="center"/>
          </w:tcPr>
          <w:p>
            <w:pPr>
              <w:pStyle w:val="20"/>
              <w:spacing w:line="312" w:lineRule="auto"/>
              <w:ind w:firstLine="420"/>
              <w:rPr>
                <w:rFonts w:ascii="宋体" w:hAnsi="宋体"/>
                <w:color w:val="auto"/>
                <w:szCs w:val="21"/>
                <w:highlight w:val="none"/>
              </w:rPr>
            </w:pPr>
          </w:p>
        </w:tc>
        <w:tc>
          <w:tcPr>
            <w:tcW w:w="3896" w:type="dxa"/>
            <w:vAlign w:val="center"/>
          </w:tcPr>
          <w:p>
            <w:pPr>
              <w:pStyle w:val="20"/>
              <w:spacing w:line="312" w:lineRule="auto"/>
              <w:ind w:firstLine="42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20"/>
              <w:spacing w:line="312" w:lineRule="auto"/>
              <w:jc w:val="center"/>
              <w:rPr>
                <w:rFonts w:ascii="宋体" w:hAnsi="宋体"/>
                <w:color w:val="auto"/>
                <w:szCs w:val="21"/>
                <w:highlight w:val="none"/>
              </w:rPr>
            </w:pPr>
            <w:r>
              <w:rPr>
                <w:rFonts w:hint="eastAsia" w:ascii="宋体" w:hAnsi="宋体"/>
                <w:color w:val="auto"/>
                <w:szCs w:val="21"/>
                <w:highlight w:val="none"/>
              </w:rPr>
              <w:t>采购负责人</w:t>
            </w:r>
          </w:p>
        </w:tc>
        <w:tc>
          <w:tcPr>
            <w:tcW w:w="1418" w:type="dxa"/>
            <w:vAlign w:val="center"/>
          </w:tcPr>
          <w:p>
            <w:pPr>
              <w:pStyle w:val="20"/>
              <w:spacing w:line="312" w:lineRule="auto"/>
              <w:ind w:firstLine="420"/>
              <w:rPr>
                <w:rFonts w:ascii="宋体" w:hAnsi="宋体"/>
                <w:color w:val="auto"/>
                <w:szCs w:val="21"/>
                <w:highlight w:val="none"/>
              </w:rPr>
            </w:pPr>
          </w:p>
        </w:tc>
        <w:tc>
          <w:tcPr>
            <w:tcW w:w="1134" w:type="dxa"/>
            <w:vAlign w:val="center"/>
          </w:tcPr>
          <w:p>
            <w:pPr>
              <w:pStyle w:val="20"/>
              <w:spacing w:line="312" w:lineRule="auto"/>
              <w:ind w:firstLine="420"/>
              <w:rPr>
                <w:rFonts w:ascii="宋体" w:hAnsi="宋体"/>
                <w:color w:val="auto"/>
                <w:szCs w:val="21"/>
                <w:highlight w:val="none"/>
              </w:rPr>
            </w:pPr>
          </w:p>
        </w:tc>
        <w:tc>
          <w:tcPr>
            <w:tcW w:w="1134" w:type="dxa"/>
            <w:vAlign w:val="center"/>
          </w:tcPr>
          <w:p>
            <w:pPr>
              <w:pStyle w:val="20"/>
              <w:spacing w:line="312" w:lineRule="auto"/>
              <w:ind w:firstLine="420"/>
              <w:rPr>
                <w:rFonts w:ascii="宋体" w:hAnsi="宋体"/>
                <w:color w:val="auto"/>
                <w:szCs w:val="21"/>
                <w:highlight w:val="none"/>
              </w:rPr>
            </w:pPr>
          </w:p>
        </w:tc>
        <w:tc>
          <w:tcPr>
            <w:tcW w:w="3896" w:type="dxa"/>
            <w:vAlign w:val="center"/>
          </w:tcPr>
          <w:p>
            <w:pPr>
              <w:pStyle w:val="20"/>
              <w:spacing w:line="312" w:lineRule="auto"/>
              <w:ind w:firstLine="42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20"/>
              <w:spacing w:line="312" w:lineRule="auto"/>
              <w:jc w:val="center"/>
              <w:rPr>
                <w:rFonts w:ascii="宋体" w:hAnsi="宋体"/>
                <w:color w:val="auto"/>
                <w:szCs w:val="21"/>
                <w:highlight w:val="none"/>
              </w:rPr>
            </w:pPr>
            <w:r>
              <w:rPr>
                <w:rFonts w:hint="eastAsia" w:ascii="宋体" w:hAnsi="宋体"/>
                <w:color w:val="auto"/>
                <w:szCs w:val="21"/>
                <w:highlight w:val="none"/>
              </w:rPr>
              <w:t>施工负责人</w:t>
            </w:r>
          </w:p>
        </w:tc>
        <w:tc>
          <w:tcPr>
            <w:tcW w:w="1418" w:type="dxa"/>
            <w:vAlign w:val="center"/>
          </w:tcPr>
          <w:p>
            <w:pPr>
              <w:pStyle w:val="20"/>
              <w:spacing w:line="312" w:lineRule="auto"/>
              <w:ind w:firstLine="420"/>
              <w:rPr>
                <w:rFonts w:ascii="宋体" w:hAnsi="宋体"/>
                <w:color w:val="auto"/>
                <w:szCs w:val="21"/>
                <w:highlight w:val="none"/>
              </w:rPr>
            </w:pPr>
          </w:p>
        </w:tc>
        <w:tc>
          <w:tcPr>
            <w:tcW w:w="1134" w:type="dxa"/>
            <w:vAlign w:val="center"/>
          </w:tcPr>
          <w:p>
            <w:pPr>
              <w:pStyle w:val="20"/>
              <w:spacing w:line="312" w:lineRule="auto"/>
              <w:ind w:firstLine="420"/>
              <w:rPr>
                <w:rFonts w:ascii="宋体" w:hAnsi="宋体"/>
                <w:color w:val="auto"/>
                <w:szCs w:val="21"/>
                <w:highlight w:val="none"/>
              </w:rPr>
            </w:pPr>
          </w:p>
        </w:tc>
        <w:tc>
          <w:tcPr>
            <w:tcW w:w="1134" w:type="dxa"/>
            <w:vAlign w:val="center"/>
          </w:tcPr>
          <w:p>
            <w:pPr>
              <w:pStyle w:val="20"/>
              <w:spacing w:line="312" w:lineRule="auto"/>
              <w:ind w:firstLine="420"/>
              <w:rPr>
                <w:rFonts w:ascii="宋体" w:hAnsi="宋体"/>
                <w:color w:val="auto"/>
                <w:szCs w:val="21"/>
                <w:highlight w:val="none"/>
              </w:rPr>
            </w:pPr>
          </w:p>
        </w:tc>
        <w:tc>
          <w:tcPr>
            <w:tcW w:w="3896" w:type="dxa"/>
            <w:vAlign w:val="center"/>
          </w:tcPr>
          <w:p>
            <w:pPr>
              <w:pStyle w:val="20"/>
              <w:spacing w:line="312" w:lineRule="auto"/>
              <w:ind w:firstLine="42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20"/>
              <w:spacing w:line="312" w:lineRule="auto"/>
              <w:jc w:val="center"/>
              <w:rPr>
                <w:rFonts w:ascii="宋体" w:hAnsi="宋体"/>
                <w:color w:val="auto"/>
                <w:szCs w:val="21"/>
                <w:highlight w:val="none"/>
              </w:rPr>
            </w:pPr>
            <w:r>
              <w:rPr>
                <w:rFonts w:hint="eastAsia" w:ascii="宋体" w:hAnsi="宋体"/>
                <w:color w:val="auto"/>
                <w:szCs w:val="21"/>
                <w:highlight w:val="none"/>
              </w:rPr>
              <w:t>技术负责人</w:t>
            </w:r>
          </w:p>
        </w:tc>
        <w:tc>
          <w:tcPr>
            <w:tcW w:w="1418" w:type="dxa"/>
            <w:vAlign w:val="center"/>
          </w:tcPr>
          <w:p>
            <w:pPr>
              <w:pStyle w:val="20"/>
              <w:spacing w:line="312" w:lineRule="auto"/>
              <w:ind w:firstLine="420"/>
              <w:rPr>
                <w:rFonts w:ascii="宋体" w:hAnsi="宋体"/>
                <w:color w:val="auto"/>
                <w:szCs w:val="21"/>
                <w:highlight w:val="none"/>
              </w:rPr>
            </w:pPr>
          </w:p>
        </w:tc>
        <w:tc>
          <w:tcPr>
            <w:tcW w:w="1134" w:type="dxa"/>
            <w:vAlign w:val="center"/>
          </w:tcPr>
          <w:p>
            <w:pPr>
              <w:pStyle w:val="20"/>
              <w:spacing w:line="312" w:lineRule="auto"/>
              <w:ind w:firstLine="420"/>
              <w:rPr>
                <w:rFonts w:ascii="宋体" w:hAnsi="宋体"/>
                <w:color w:val="auto"/>
                <w:szCs w:val="21"/>
                <w:highlight w:val="none"/>
              </w:rPr>
            </w:pPr>
          </w:p>
        </w:tc>
        <w:tc>
          <w:tcPr>
            <w:tcW w:w="1134" w:type="dxa"/>
            <w:vAlign w:val="center"/>
          </w:tcPr>
          <w:p>
            <w:pPr>
              <w:pStyle w:val="20"/>
              <w:spacing w:line="312" w:lineRule="auto"/>
              <w:ind w:firstLine="420"/>
              <w:rPr>
                <w:rFonts w:ascii="宋体" w:hAnsi="宋体"/>
                <w:color w:val="auto"/>
                <w:szCs w:val="21"/>
                <w:highlight w:val="none"/>
              </w:rPr>
            </w:pPr>
          </w:p>
        </w:tc>
        <w:tc>
          <w:tcPr>
            <w:tcW w:w="3896" w:type="dxa"/>
            <w:vAlign w:val="center"/>
          </w:tcPr>
          <w:p>
            <w:pPr>
              <w:pStyle w:val="20"/>
              <w:spacing w:line="312" w:lineRule="auto"/>
              <w:ind w:firstLine="42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20"/>
              <w:spacing w:line="312" w:lineRule="auto"/>
              <w:jc w:val="center"/>
              <w:rPr>
                <w:rFonts w:ascii="宋体" w:hAnsi="宋体"/>
                <w:color w:val="auto"/>
                <w:szCs w:val="21"/>
                <w:highlight w:val="none"/>
              </w:rPr>
            </w:pPr>
            <w:r>
              <w:rPr>
                <w:rFonts w:hint="eastAsia" w:ascii="宋体" w:hAnsi="宋体"/>
                <w:color w:val="auto"/>
                <w:szCs w:val="21"/>
                <w:highlight w:val="none"/>
              </w:rPr>
              <w:t>造价管理</w:t>
            </w:r>
          </w:p>
        </w:tc>
        <w:tc>
          <w:tcPr>
            <w:tcW w:w="1418" w:type="dxa"/>
            <w:vAlign w:val="center"/>
          </w:tcPr>
          <w:p>
            <w:pPr>
              <w:pStyle w:val="20"/>
              <w:spacing w:line="312" w:lineRule="auto"/>
              <w:ind w:firstLine="420"/>
              <w:rPr>
                <w:rFonts w:ascii="宋体" w:hAnsi="宋体"/>
                <w:color w:val="auto"/>
                <w:szCs w:val="21"/>
                <w:highlight w:val="none"/>
              </w:rPr>
            </w:pPr>
          </w:p>
        </w:tc>
        <w:tc>
          <w:tcPr>
            <w:tcW w:w="1134" w:type="dxa"/>
            <w:vAlign w:val="center"/>
          </w:tcPr>
          <w:p>
            <w:pPr>
              <w:pStyle w:val="20"/>
              <w:spacing w:line="312" w:lineRule="auto"/>
              <w:ind w:firstLine="420"/>
              <w:rPr>
                <w:rFonts w:ascii="宋体" w:hAnsi="宋体"/>
                <w:color w:val="auto"/>
                <w:szCs w:val="21"/>
                <w:highlight w:val="none"/>
              </w:rPr>
            </w:pPr>
          </w:p>
        </w:tc>
        <w:tc>
          <w:tcPr>
            <w:tcW w:w="1134" w:type="dxa"/>
            <w:vAlign w:val="center"/>
          </w:tcPr>
          <w:p>
            <w:pPr>
              <w:pStyle w:val="20"/>
              <w:spacing w:line="312" w:lineRule="auto"/>
              <w:ind w:firstLine="420"/>
              <w:rPr>
                <w:rFonts w:ascii="宋体" w:hAnsi="宋体"/>
                <w:color w:val="auto"/>
                <w:szCs w:val="21"/>
                <w:highlight w:val="none"/>
              </w:rPr>
            </w:pPr>
          </w:p>
        </w:tc>
        <w:tc>
          <w:tcPr>
            <w:tcW w:w="3896" w:type="dxa"/>
            <w:vAlign w:val="center"/>
          </w:tcPr>
          <w:p>
            <w:pPr>
              <w:pStyle w:val="20"/>
              <w:spacing w:line="312" w:lineRule="auto"/>
              <w:ind w:firstLine="42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20"/>
              <w:spacing w:line="312" w:lineRule="auto"/>
              <w:jc w:val="center"/>
              <w:rPr>
                <w:rFonts w:ascii="宋体" w:hAnsi="宋体"/>
                <w:color w:val="auto"/>
                <w:szCs w:val="21"/>
                <w:highlight w:val="none"/>
              </w:rPr>
            </w:pPr>
            <w:r>
              <w:rPr>
                <w:rFonts w:hint="eastAsia" w:ascii="宋体" w:hAnsi="宋体"/>
                <w:color w:val="auto"/>
                <w:szCs w:val="21"/>
                <w:highlight w:val="none"/>
              </w:rPr>
              <w:t>质量管理</w:t>
            </w:r>
          </w:p>
        </w:tc>
        <w:tc>
          <w:tcPr>
            <w:tcW w:w="1418" w:type="dxa"/>
            <w:vAlign w:val="center"/>
          </w:tcPr>
          <w:p>
            <w:pPr>
              <w:pStyle w:val="20"/>
              <w:spacing w:line="312" w:lineRule="auto"/>
              <w:ind w:firstLine="420"/>
              <w:rPr>
                <w:rFonts w:ascii="宋体" w:hAnsi="宋体"/>
                <w:color w:val="auto"/>
                <w:szCs w:val="21"/>
                <w:highlight w:val="none"/>
              </w:rPr>
            </w:pPr>
          </w:p>
        </w:tc>
        <w:tc>
          <w:tcPr>
            <w:tcW w:w="1134" w:type="dxa"/>
            <w:vAlign w:val="center"/>
          </w:tcPr>
          <w:p>
            <w:pPr>
              <w:pStyle w:val="20"/>
              <w:spacing w:line="312" w:lineRule="auto"/>
              <w:ind w:firstLine="420"/>
              <w:rPr>
                <w:rFonts w:ascii="宋体" w:hAnsi="宋体"/>
                <w:color w:val="auto"/>
                <w:szCs w:val="21"/>
                <w:highlight w:val="none"/>
              </w:rPr>
            </w:pPr>
          </w:p>
        </w:tc>
        <w:tc>
          <w:tcPr>
            <w:tcW w:w="1134" w:type="dxa"/>
            <w:vAlign w:val="center"/>
          </w:tcPr>
          <w:p>
            <w:pPr>
              <w:pStyle w:val="20"/>
              <w:spacing w:line="312" w:lineRule="auto"/>
              <w:ind w:firstLine="420"/>
              <w:rPr>
                <w:rFonts w:ascii="宋体" w:hAnsi="宋体"/>
                <w:color w:val="auto"/>
                <w:szCs w:val="21"/>
                <w:highlight w:val="none"/>
              </w:rPr>
            </w:pPr>
          </w:p>
        </w:tc>
        <w:tc>
          <w:tcPr>
            <w:tcW w:w="3896" w:type="dxa"/>
            <w:vAlign w:val="center"/>
          </w:tcPr>
          <w:p>
            <w:pPr>
              <w:pStyle w:val="20"/>
              <w:spacing w:line="312" w:lineRule="auto"/>
              <w:ind w:firstLine="42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20"/>
              <w:spacing w:line="312" w:lineRule="auto"/>
              <w:jc w:val="center"/>
              <w:rPr>
                <w:rFonts w:ascii="宋体" w:hAnsi="宋体"/>
                <w:color w:val="auto"/>
                <w:szCs w:val="21"/>
                <w:highlight w:val="none"/>
              </w:rPr>
            </w:pPr>
            <w:r>
              <w:rPr>
                <w:rFonts w:hint="eastAsia" w:ascii="宋体" w:hAnsi="宋体"/>
                <w:color w:val="auto"/>
                <w:szCs w:val="21"/>
                <w:highlight w:val="none"/>
              </w:rPr>
              <w:t>计划管理</w:t>
            </w:r>
          </w:p>
        </w:tc>
        <w:tc>
          <w:tcPr>
            <w:tcW w:w="1418" w:type="dxa"/>
            <w:vAlign w:val="center"/>
          </w:tcPr>
          <w:p>
            <w:pPr>
              <w:pStyle w:val="20"/>
              <w:spacing w:line="312" w:lineRule="auto"/>
              <w:ind w:firstLine="420"/>
              <w:rPr>
                <w:rFonts w:ascii="宋体" w:hAnsi="宋体"/>
                <w:color w:val="auto"/>
                <w:szCs w:val="21"/>
                <w:highlight w:val="none"/>
              </w:rPr>
            </w:pPr>
          </w:p>
        </w:tc>
        <w:tc>
          <w:tcPr>
            <w:tcW w:w="1134" w:type="dxa"/>
            <w:vAlign w:val="center"/>
          </w:tcPr>
          <w:p>
            <w:pPr>
              <w:pStyle w:val="20"/>
              <w:spacing w:line="312" w:lineRule="auto"/>
              <w:ind w:firstLine="420"/>
              <w:rPr>
                <w:rFonts w:ascii="宋体" w:hAnsi="宋体"/>
                <w:color w:val="auto"/>
                <w:szCs w:val="21"/>
                <w:highlight w:val="none"/>
              </w:rPr>
            </w:pPr>
          </w:p>
        </w:tc>
        <w:tc>
          <w:tcPr>
            <w:tcW w:w="1134" w:type="dxa"/>
            <w:vAlign w:val="center"/>
          </w:tcPr>
          <w:p>
            <w:pPr>
              <w:pStyle w:val="20"/>
              <w:spacing w:line="312" w:lineRule="auto"/>
              <w:ind w:firstLine="420"/>
              <w:rPr>
                <w:rFonts w:ascii="宋体" w:hAnsi="宋体"/>
                <w:color w:val="auto"/>
                <w:szCs w:val="21"/>
                <w:highlight w:val="none"/>
              </w:rPr>
            </w:pPr>
          </w:p>
        </w:tc>
        <w:tc>
          <w:tcPr>
            <w:tcW w:w="3896" w:type="dxa"/>
            <w:vAlign w:val="center"/>
          </w:tcPr>
          <w:p>
            <w:pPr>
              <w:pStyle w:val="20"/>
              <w:spacing w:line="312" w:lineRule="auto"/>
              <w:ind w:firstLine="42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20"/>
              <w:spacing w:line="312" w:lineRule="auto"/>
              <w:jc w:val="center"/>
              <w:rPr>
                <w:rFonts w:ascii="宋体" w:hAnsi="宋体"/>
                <w:color w:val="auto"/>
                <w:szCs w:val="21"/>
                <w:highlight w:val="none"/>
              </w:rPr>
            </w:pPr>
            <w:r>
              <w:rPr>
                <w:rFonts w:hint="eastAsia" w:ascii="宋体" w:hAnsi="宋体"/>
                <w:color w:val="auto"/>
                <w:szCs w:val="21"/>
                <w:highlight w:val="none"/>
              </w:rPr>
              <w:t>安全管理</w:t>
            </w:r>
          </w:p>
        </w:tc>
        <w:tc>
          <w:tcPr>
            <w:tcW w:w="1418" w:type="dxa"/>
            <w:vAlign w:val="center"/>
          </w:tcPr>
          <w:p>
            <w:pPr>
              <w:pStyle w:val="20"/>
              <w:spacing w:line="312" w:lineRule="auto"/>
              <w:ind w:firstLine="420"/>
              <w:rPr>
                <w:rFonts w:ascii="宋体" w:hAnsi="宋体"/>
                <w:color w:val="auto"/>
                <w:szCs w:val="21"/>
                <w:highlight w:val="none"/>
              </w:rPr>
            </w:pPr>
          </w:p>
        </w:tc>
        <w:tc>
          <w:tcPr>
            <w:tcW w:w="1134" w:type="dxa"/>
            <w:vAlign w:val="center"/>
          </w:tcPr>
          <w:p>
            <w:pPr>
              <w:pStyle w:val="20"/>
              <w:spacing w:line="312" w:lineRule="auto"/>
              <w:ind w:firstLine="420"/>
              <w:rPr>
                <w:rFonts w:ascii="宋体" w:hAnsi="宋体"/>
                <w:color w:val="auto"/>
                <w:szCs w:val="21"/>
                <w:highlight w:val="none"/>
              </w:rPr>
            </w:pPr>
          </w:p>
        </w:tc>
        <w:tc>
          <w:tcPr>
            <w:tcW w:w="1134" w:type="dxa"/>
            <w:vAlign w:val="center"/>
          </w:tcPr>
          <w:p>
            <w:pPr>
              <w:pStyle w:val="20"/>
              <w:spacing w:line="312" w:lineRule="auto"/>
              <w:ind w:firstLine="420"/>
              <w:rPr>
                <w:rFonts w:ascii="宋体" w:hAnsi="宋体"/>
                <w:color w:val="auto"/>
                <w:szCs w:val="21"/>
                <w:highlight w:val="none"/>
              </w:rPr>
            </w:pPr>
          </w:p>
        </w:tc>
        <w:tc>
          <w:tcPr>
            <w:tcW w:w="3896" w:type="dxa"/>
            <w:vAlign w:val="center"/>
          </w:tcPr>
          <w:p>
            <w:pPr>
              <w:pStyle w:val="20"/>
              <w:spacing w:line="312" w:lineRule="auto"/>
              <w:ind w:firstLine="42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20"/>
              <w:spacing w:line="312" w:lineRule="auto"/>
              <w:jc w:val="center"/>
              <w:rPr>
                <w:rFonts w:ascii="宋体" w:hAnsi="宋体"/>
                <w:color w:val="auto"/>
                <w:szCs w:val="21"/>
                <w:highlight w:val="none"/>
              </w:rPr>
            </w:pPr>
            <w:r>
              <w:rPr>
                <w:rFonts w:hint="eastAsia" w:ascii="宋体" w:hAnsi="宋体"/>
                <w:color w:val="auto"/>
                <w:szCs w:val="21"/>
                <w:highlight w:val="none"/>
              </w:rPr>
              <w:t>环境管理</w:t>
            </w:r>
          </w:p>
        </w:tc>
        <w:tc>
          <w:tcPr>
            <w:tcW w:w="1418" w:type="dxa"/>
            <w:vAlign w:val="center"/>
          </w:tcPr>
          <w:p>
            <w:pPr>
              <w:pStyle w:val="20"/>
              <w:spacing w:line="312" w:lineRule="auto"/>
              <w:ind w:firstLine="420"/>
              <w:rPr>
                <w:rFonts w:ascii="宋体" w:hAnsi="宋体"/>
                <w:color w:val="auto"/>
                <w:szCs w:val="21"/>
                <w:highlight w:val="none"/>
              </w:rPr>
            </w:pPr>
          </w:p>
        </w:tc>
        <w:tc>
          <w:tcPr>
            <w:tcW w:w="1134" w:type="dxa"/>
            <w:vAlign w:val="center"/>
          </w:tcPr>
          <w:p>
            <w:pPr>
              <w:pStyle w:val="20"/>
              <w:spacing w:line="312" w:lineRule="auto"/>
              <w:ind w:firstLine="420"/>
              <w:rPr>
                <w:rFonts w:ascii="宋体" w:hAnsi="宋体"/>
                <w:color w:val="auto"/>
                <w:szCs w:val="21"/>
                <w:highlight w:val="none"/>
              </w:rPr>
            </w:pPr>
          </w:p>
        </w:tc>
        <w:tc>
          <w:tcPr>
            <w:tcW w:w="1134" w:type="dxa"/>
            <w:vAlign w:val="center"/>
          </w:tcPr>
          <w:p>
            <w:pPr>
              <w:pStyle w:val="20"/>
              <w:spacing w:line="312" w:lineRule="auto"/>
              <w:ind w:firstLine="420"/>
              <w:rPr>
                <w:rFonts w:ascii="宋体" w:hAnsi="宋体"/>
                <w:color w:val="auto"/>
                <w:szCs w:val="21"/>
                <w:highlight w:val="none"/>
              </w:rPr>
            </w:pPr>
          </w:p>
        </w:tc>
        <w:tc>
          <w:tcPr>
            <w:tcW w:w="3896" w:type="dxa"/>
            <w:vAlign w:val="center"/>
          </w:tcPr>
          <w:p>
            <w:pPr>
              <w:pStyle w:val="20"/>
              <w:spacing w:line="312" w:lineRule="auto"/>
              <w:ind w:firstLine="42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restart"/>
            <w:tcBorders>
              <w:top w:val="single" w:color="auto" w:sz="6" w:space="0"/>
            </w:tcBorders>
            <w:vAlign w:val="center"/>
          </w:tcPr>
          <w:p>
            <w:pPr>
              <w:pStyle w:val="20"/>
              <w:spacing w:line="312" w:lineRule="auto"/>
              <w:jc w:val="center"/>
              <w:rPr>
                <w:rFonts w:ascii="宋体" w:hAnsi="宋体"/>
                <w:color w:val="auto"/>
                <w:szCs w:val="21"/>
                <w:highlight w:val="none"/>
              </w:rPr>
            </w:pPr>
            <w:r>
              <w:rPr>
                <w:rFonts w:hint="eastAsia" w:ascii="宋体" w:hAnsi="宋体"/>
                <w:color w:val="auto"/>
                <w:szCs w:val="21"/>
                <w:highlight w:val="none"/>
              </w:rPr>
              <w:t>其他人员</w:t>
            </w:r>
          </w:p>
        </w:tc>
        <w:tc>
          <w:tcPr>
            <w:tcW w:w="1418" w:type="dxa"/>
            <w:vAlign w:val="center"/>
          </w:tcPr>
          <w:p>
            <w:pPr>
              <w:pStyle w:val="20"/>
              <w:spacing w:line="312" w:lineRule="auto"/>
              <w:ind w:firstLine="420"/>
              <w:rPr>
                <w:rFonts w:ascii="宋体" w:hAnsi="宋体"/>
                <w:color w:val="auto"/>
                <w:szCs w:val="21"/>
                <w:highlight w:val="none"/>
              </w:rPr>
            </w:pPr>
          </w:p>
        </w:tc>
        <w:tc>
          <w:tcPr>
            <w:tcW w:w="1134" w:type="dxa"/>
            <w:vAlign w:val="center"/>
          </w:tcPr>
          <w:p>
            <w:pPr>
              <w:pStyle w:val="20"/>
              <w:spacing w:line="312" w:lineRule="auto"/>
              <w:ind w:firstLine="420"/>
              <w:rPr>
                <w:rFonts w:ascii="宋体" w:hAnsi="宋体"/>
                <w:color w:val="auto"/>
                <w:szCs w:val="21"/>
                <w:highlight w:val="none"/>
              </w:rPr>
            </w:pPr>
          </w:p>
        </w:tc>
        <w:tc>
          <w:tcPr>
            <w:tcW w:w="1134" w:type="dxa"/>
            <w:vAlign w:val="center"/>
          </w:tcPr>
          <w:p>
            <w:pPr>
              <w:pStyle w:val="20"/>
              <w:spacing w:line="312" w:lineRule="auto"/>
              <w:ind w:firstLine="420"/>
              <w:rPr>
                <w:rFonts w:ascii="宋体" w:hAnsi="宋体"/>
                <w:color w:val="auto"/>
                <w:szCs w:val="21"/>
                <w:highlight w:val="none"/>
              </w:rPr>
            </w:pPr>
          </w:p>
        </w:tc>
        <w:tc>
          <w:tcPr>
            <w:tcW w:w="3896" w:type="dxa"/>
            <w:vAlign w:val="center"/>
          </w:tcPr>
          <w:p>
            <w:pPr>
              <w:pStyle w:val="20"/>
              <w:spacing w:line="312" w:lineRule="auto"/>
              <w:ind w:firstLine="42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pPr>
              <w:pStyle w:val="20"/>
              <w:spacing w:line="312" w:lineRule="auto"/>
              <w:ind w:firstLine="420"/>
              <w:rPr>
                <w:rFonts w:ascii="宋体" w:hAnsi="宋体"/>
                <w:color w:val="auto"/>
                <w:szCs w:val="21"/>
                <w:highlight w:val="none"/>
              </w:rPr>
            </w:pPr>
          </w:p>
        </w:tc>
        <w:tc>
          <w:tcPr>
            <w:tcW w:w="1418" w:type="dxa"/>
            <w:tcBorders>
              <w:bottom w:val="nil"/>
            </w:tcBorders>
            <w:vAlign w:val="center"/>
          </w:tcPr>
          <w:p>
            <w:pPr>
              <w:pStyle w:val="20"/>
              <w:spacing w:line="312" w:lineRule="auto"/>
              <w:ind w:firstLine="420"/>
              <w:rPr>
                <w:rFonts w:ascii="宋体" w:hAnsi="宋体"/>
                <w:color w:val="auto"/>
                <w:szCs w:val="21"/>
                <w:highlight w:val="none"/>
              </w:rPr>
            </w:pPr>
          </w:p>
        </w:tc>
        <w:tc>
          <w:tcPr>
            <w:tcW w:w="1134" w:type="dxa"/>
            <w:tcBorders>
              <w:bottom w:val="nil"/>
            </w:tcBorders>
            <w:vAlign w:val="center"/>
          </w:tcPr>
          <w:p>
            <w:pPr>
              <w:pStyle w:val="20"/>
              <w:spacing w:line="312" w:lineRule="auto"/>
              <w:ind w:firstLine="420"/>
              <w:rPr>
                <w:rFonts w:ascii="宋体" w:hAnsi="宋体"/>
                <w:color w:val="auto"/>
                <w:szCs w:val="21"/>
                <w:highlight w:val="none"/>
              </w:rPr>
            </w:pPr>
          </w:p>
        </w:tc>
        <w:tc>
          <w:tcPr>
            <w:tcW w:w="1134" w:type="dxa"/>
            <w:tcBorders>
              <w:bottom w:val="nil"/>
            </w:tcBorders>
            <w:vAlign w:val="center"/>
          </w:tcPr>
          <w:p>
            <w:pPr>
              <w:pStyle w:val="20"/>
              <w:spacing w:line="312" w:lineRule="auto"/>
              <w:ind w:firstLine="420"/>
              <w:rPr>
                <w:rFonts w:ascii="宋体" w:hAnsi="宋体"/>
                <w:color w:val="auto"/>
                <w:szCs w:val="21"/>
                <w:highlight w:val="none"/>
              </w:rPr>
            </w:pPr>
          </w:p>
        </w:tc>
        <w:tc>
          <w:tcPr>
            <w:tcW w:w="3896" w:type="dxa"/>
            <w:tcBorders>
              <w:bottom w:val="nil"/>
            </w:tcBorders>
            <w:vAlign w:val="center"/>
          </w:tcPr>
          <w:p>
            <w:pPr>
              <w:pStyle w:val="20"/>
              <w:spacing w:line="312" w:lineRule="auto"/>
              <w:ind w:firstLine="42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pPr>
              <w:pStyle w:val="20"/>
              <w:spacing w:line="312" w:lineRule="auto"/>
              <w:ind w:firstLine="420"/>
              <w:rPr>
                <w:rFonts w:ascii="宋体" w:hAnsi="宋体"/>
                <w:color w:val="auto"/>
                <w:szCs w:val="21"/>
                <w:highlight w:val="none"/>
              </w:rPr>
            </w:pPr>
          </w:p>
        </w:tc>
        <w:tc>
          <w:tcPr>
            <w:tcW w:w="1418" w:type="dxa"/>
            <w:vAlign w:val="center"/>
          </w:tcPr>
          <w:p>
            <w:pPr>
              <w:pStyle w:val="20"/>
              <w:spacing w:line="312" w:lineRule="auto"/>
              <w:ind w:firstLine="420"/>
              <w:rPr>
                <w:rFonts w:ascii="宋体" w:hAnsi="宋体"/>
                <w:color w:val="auto"/>
                <w:szCs w:val="21"/>
                <w:highlight w:val="none"/>
              </w:rPr>
            </w:pPr>
          </w:p>
        </w:tc>
        <w:tc>
          <w:tcPr>
            <w:tcW w:w="1134" w:type="dxa"/>
            <w:vAlign w:val="center"/>
          </w:tcPr>
          <w:p>
            <w:pPr>
              <w:pStyle w:val="20"/>
              <w:spacing w:line="312" w:lineRule="auto"/>
              <w:ind w:firstLine="420"/>
              <w:rPr>
                <w:rFonts w:ascii="宋体" w:hAnsi="宋体"/>
                <w:color w:val="auto"/>
                <w:szCs w:val="21"/>
                <w:highlight w:val="none"/>
              </w:rPr>
            </w:pPr>
          </w:p>
        </w:tc>
        <w:tc>
          <w:tcPr>
            <w:tcW w:w="1134" w:type="dxa"/>
            <w:vAlign w:val="center"/>
          </w:tcPr>
          <w:p>
            <w:pPr>
              <w:pStyle w:val="20"/>
              <w:spacing w:line="312" w:lineRule="auto"/>
              <w:ind w:firstLine="420"/>
              <w:rPr>
                <w:rFonts w:ascii="宋体" w:hAnsi="宋体"/>
                <w:color w:val="auto"/>
                <w:szCs w:val="21"/>
                <w:highlight w:val="none"/>
              </w:rPr>
            </w:pPr>
          </w:p>
        </w:tc>
        <w:tc>
          <w:tcPr>
            <w:tcW w:w="3896" w:type="dxa"/>
            <w:vAlign w:val="center"/>
          </w:tcPr>
          <w:p>
            <w:pPr>
              <w:pStyle w:val="20"/>
              <w:spacing w:line="312" w:lineRule="auto"/>
              <w:ind w:firstLine="42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pPr>
              <w:pStyle w:val="20"/>
              <w:spacing w:line="312" w:lineRule="auto"/>
              <w:ind w:firstLine="420"/>
              <w:rPr>
                <w:rFonts w:ascii="宋体" w:hAnsi="宋体"/>
                <w:color w:val="auto"/>
                <w:szCs w:val="21"/>
                <w:highlight w:val="none"/>
              </w:rPr>
            </w:pPr>
          </w:p>
        </w:tc>
        <w:tc>
          <w:tcPr>
            <w:tcW w:w="1418" w:type="dxa"/>
            <w:vAlign w:val="center"/>
          </w:tcPr>
          <w:p>
            <w:pPr>
              <w:pStyle w:val="20"/>
              <w:spacing w:line="312" w:lineRule="auto"/>
              <w:ind w:firstLine="420"/>
              <w:rPr>
                <w:rFonts w:ascii="宋体" w:hAnsi="宋体"/>
                <w:color w:val="auto"/>
                <w:szCs w:val="21"/>
                <w:highlight w:val="none"/>
              </w:rPr>
            </w:pPr>
          </w:p>
        </w:tc>
        <w:tc>
          <w:tcPr>
            <w:tcW w:w="1134" w:type="dxa"/>
            <w:vAlign w:val="center"/>
          </w:tcPr>
          <w:p>
            <w:pPr>
              <w:pStyle w:val="20"/>
              <w:spacing w:line="312" w:lineRule="auto"/>
              <w:ind w:firstLine="420"/>
              <w:rPr>
                <w:rFonts w:ascii="宋体" w:hAnsi="宋体"/>
                <w:color w:val="auto"/>
                <w:szCs w:val="21"/>
                <w:highlight w:val="none"/>
              </w:rPr>
            </w:pPr>
          </w:p>
        </w:tc>
        <w:tc>
          <w:tcPr>
            <w:tcW w:w="1134" w:type="dxa"/>
            <w:vAlign w:val="center"/>
          </w:tcPr>
          <w:p>
            <w:pPr>
              <w:pStyle w:val="20"/>
              <w:spacing w:line="312" w:lineRule="auto"/>
              <w:ind w:firstLine="420"/>
              <w:rPr>
                <w:rFonts w:ascii="宋体" w:hAnsi="宋体"/>
                <w:color w:val="auto"/>
                <w:szCs w:val="21"/>
                <w:highlight w:val="none"/>
              </w:rPr>
            </w:pPr>
          </w:p>
        </w:tc>
        <w:tc>
          <w:tcPr>
            <w:tcW w:w="3896" w:type="dxa"/>
            <w:vAlign w:val="center"/>
          </w:tcPr>
          <w:p>
            <w:pPr>
              <w:pStyle w:val="20"/>
              <w:spacing w:line="312" w:lineRule="auto"/>
              <w:ind w:firstLine="42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pPr>
              <w:pStyle w:val="20"/>
              <w:spacing w:line="312" w:lineRule="auto"/>
              <w:ind w:firstLine="420"/>
              <w:rPr>
                <w:rFonts w:ascii="宋体" w:hAnsi="宋体"/>
                <w:color w:val="auto"/>
                <w:szCs w:val="21"/>
                <w:highlight w:val="none"/>
              </w:rPr>
            </w:pPr>
          </w:p>
        </w:tc>
        <w:tc>
          <w:tcPr>
            <w:tcW w:w="1418" w:type="dxa"/>
            <w:vAlign w:val="center"/>
          </w:tcPr>
          <w:p>
            <w:pPr>
              <w:pStyle w:val="20"/>
              <w:spacing w:line="312" w:lineRule="auto"/>
              <w:ind w:firstLine="420"/>
              <w:rPr>
                <w:rFonts w:ascii="宋体" w:hAnsi="宋体"/>
                <w:color w:val="auto"/>
                <w:szCs w:val="21"/>
                <w:highlight w:val="none"/>
              </w:rPr>
            </w:pPr>
          </w:p>
        </w:tc>
        <w:tc>
          <w:tcPr>
            <w:tcW w:w="1134" w:type="dxa"/>
            <w:vAlign w:val="center"/>
          </w:tcPr>
          <w:p>
            <w:pPr>
              <w:pStyle w:val="20"/>
              <w:spacing w:line="312" w:lineRule="auto"/>
              <w:ind w:firstLine="420"/>
              <w:rPr>
                <w:rFonts w:ascii="宋体" w:hAnsi="宋体"/>
                <w:color w:val="auto"/>
                <w:szCs w:val="21"/>
                <w:highlight w:val="none"/>
              </w:rPr>
            </w:pPr>
          </w:p>
        </w:tc>
        <w:tc>
          <w:tcPr>
            <w:tcW w:w="1134" w:type="dxa"/>
            <w:vAlign w:val="center"/>
          </w:tcPr>
          <w:p>
            <w:pPr>
              <w:pStyle w:val="20"/>
              <w:spacing w:line="312" w:lineRule="auto"/>
              <w:ind w:firstLine="420"/>
              <w:rPr>
                <w:rFonts w:ascii="宋体" w:hAnsi="宋体"/>
                <w:color w:val="auto"/>
                <w:szCs w:val="21"/>
                <w:highlight w:val="none"/>
              </w:rPr>
            </w:pPr>
          </w:p>
        </w:tc>
        <w:tc>
          <w:tcPr>
            <w:tcW w:w="3896" w:type="dxa"/>
            <w:vAlign w:val="center"/>
          </w:tcPr>
          <w:p>
            <w:pPr>
              <w:pStyle w:val="20"/>
              <w:spacing w:line="312" w:lineRule="auto"/>
              <w:ind w:firstLine="42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tcBorders>
              <w:bottom w:val="single" w:color="auto" w:sz="12" w:space="0"/>
            </w:tcBorders>
            <w:vAlign w:val="center"/>
          </w:tcPr>
          <w:p>
            <w:pPr>
              <w:pStyle w:val="20"/>
              <w:spacing w:after="156" w:line="312" w:lineRule="auto"/>
              <w:ind w:firstLine="420"/>
              <w:rPr>
                <w:rFonts w:ascii="宋体" w:hAnsi="宋体"/>
                <w:color w:val="auto"/>
                <w:szCs w:val="21"/>
                <w:highlight w:val="none"/>
              </w:rPr>
            </w:pPr>
          </w:p>
        </w:tc>
        <w:tc>
          <w:tcPr>
            <w:tcW w:w="1418" w:type="dxa"/>
            <w:tcBorders>
              <w:bottom w:val="single" w:color="auto" w:sz="12" w:space="0"/>
            </w:tcBorders>
            <w:vAlign w:val="center"/>
          </w:tcPr>
          <w:p>
            <w:pPr>
              <w:pStyle w:val="20"/>
              <w:spacing w:after="156" w:line="312" w:lineRule="auto"/>
              <w:ind w:firstLine="420"/>
              <w:rPr>
                <w:rFonts w:ascii="宋体" w:hAnsi="宋体"/>
                <w:color w:val="auto"/>
                <w:szCs w:val="21"/>
                <w:highlight w:val="none"/>
              </w:rPr>
            </w:pPr>
          </w:p>
        </w:tc>
        <w:tc>
          <w:tcPr>
            <w:tcW w:w="1134" w:type="dxa"/>
            <w:tcBorders>
              <w:bottom w:val="single" w:color="auto" w:sz="12" w:space="0"/>
            </w:tcBorders>
            <w:vAlign w:val="center"/>
          </w:tcPr>
          <w:p>
            <w:pPr>
              <w:pStyle w:val="20"/>
              <w:spacing w:after="156" w:line="312" w:lineRule="auto"/>
              <w:ind w:firstLine="420"/>
              <w:rPr>
                <w:rFonts w:ascii="宋体" w:hAnsi="宋体"/>
                <w:color w:val="auto"/>
                <w:szCs w:val="21"/>
                <w:highlight w:val="none"/>
              </w:rPr>
            </w:pPr>
          </w:p>
        </w:tc>
        <w:tc>
          <w:tcPr>
            <w:tcW w:w="1134" w:type="dxa"/>
            <w:tcBorders>
              <w:bottom w:val="single" w:color="auto" w:sz="12" w:space="0"/>
            </w:tcBorders>
            <w:vAlign w:val="center"/>
          </w:tcPr>
          <w:p>
            <w:pPr>
              <w:pStyle w:val="20"/>
              <w:spacing w:after="156" w:line="312" w:lineRule="auto"/>
              <w:ind w:firstLine="420"/>
              <w:rPr>
                <w:rFonts w:ascii="宋体" w:hAnsi="宋体"/>
                <w:color w:val="auto"/>
                <w:szCs w:val="21"/>
                <w:highlight w:val="none"/>
              </w:rPr>
            </w:pPr>
          </w:p>
        </w:tc>
        <w:tc>
          <w:tcPr>
            <w:tcW w:w="3896" w:type="dxa"/>
            <w:tcBorders>
              <w:bottom w:val="single" w:color="auto" w:sz="12" w:space="0"/>
            </w:tcBorders>
            <w:vAlign w:val="center"/>
          </w:tcPr>
          <w:p>
            <w:pPr>
              <w:pStyle w:val="20"/>
              <w:spacing w:after="156" w:line="312" w:lineRule="auto"/>
              <w:ind w:firstLine="420"/>
              <w:rPr>
                <w:rFonts w:ascii="宋体" w:hAnsi="宋体"/>
                <w:color w:val="auto"/>
                <w:szCs w:val="21"/>
                <w:highlight w:val="none"/>
              </w:rPr>
            </w:pPr>
          </w:p>
        </w:tc>
      </w:tr>
    </w:tbl>
    <w:p>
      <w:pPr>
        <w:spacing w:after="156" w:line="312" w:lineRule="auto"/>
        <w:rPr>
          <w:rFonts w:ascii="宋体" w:hAnsi="宋体" w:cs="宋体"/>
          <w:color w:val="auto"/>
          <w:highlight w:val="none"/>
        </w:rPr>
      </w:pPr>
      <w:r>
        <w:rPr>
          <w:color w:val="auto"/>
          <w:szCs w:val="21"/>
          <w:highlight w:val="none"/>
        </w:rPr>
        <w:br w:type="page"/>
      </w:r>
      <w:r>
        <w:rPr>
          <w:rFonts w:hint="eastAsia" w:ascii="宋体" w:hAnsi="宋体" w:cs="宋体"/>
          <w:color w:val="auto"/>
          <w:highlight w:val="none"/>
        </w:rPr>
        <w:t>附件</w:t>
      </w:r>
      <w:r>
        <w:rPr>
          <w:rFonts w:ascii="宋体" w:hAnsi="宋体" w:cs="宋体"/>
          <w:color w:val="auto"/>
          <w:highlight w:val="none"/>
        </w:rPr>
        <w:t>4</w:t>
      </w:r>
      <w:r>
        <w:rPr>
          <w:rFonts w:hint="eastAsia" w:ascii="宋体" w:hAnsi="宋体" w:cs="宋体"/>
          <w:color w:val="auto"/>
          <w:highlight w:val="none"/>
        </w:rPr>
        <w:t>：</w:t>
      </w:r>
    </w:p>
    <w:p>
      <w:pPr>
        <w:pStyle w:val="4"/>
        <w:spacing w:before="0" w:after="0" w:line="360" w:lineRule="auto"/>
        <w:jc w:val="center"/>
        <w:rPr>
          <w:rFonts w:ascii="宋体" w:hAnsi="宋体" w:cs="黑体"/>
          <w:color w:val="auto"/>
          <w:highlight w:val="none"/>
        </w:rPr>
      </w:pPr>
      <w:r>
        <w:rPr>
          <w:rFonts w:hint="eastAsia" w:ascii="宋体" w:hAnsi="宋体" w:cs="黑体"/>
          <w:color w:val="auto"/>
          <w:highlight w:val="none"/>
        </w:rPr>
        <w:t>工程建设项目廉政责任书</w:t>
      </w:r>
    </w:p>
    <w:p>
      <w:pPr>
        <w:spacing w:line="480" w:lineRule="exact"/>
        <w:jc w:val="center"/>
        <w:rPr>
          <w:rFonts w:ascii="宋体" w:hAnsi="宋体"/>
          <w:b/>
          <w:color w:val="auto"/>
          <w:sz w:val="28"/>
          <w:szCs w:val="28"/>
          <w:highlight w:val="none"/>
        </w:rPr>
      </w:pPr>
      <w:r>
        <w:rPr>
          <w:rFonts w:hint="eastAsia" w:ascii="宋体" w:hAnsi="宋体"/>
          <w:b/>
          <w:color w:val="auto"/>
          <w:sz w:val="28"/>
          <w:szCs w:val="28"/>
          <w:highlight w:val="none"/>
        </w:rPr>
        <w:t>(项目法人与承包商)</w:t>
      </w:r>
    </w:p>
    <w:p>
      <w:pPr>
        <w:spacing w:line="360" w:lineRule="auto"/>
        <w:ind w:firstLine="420" w:firstLineChars="200"/>
        <w:rPr>
          <w:rFonts w:ascii="宋体" w:hAnsi="宋体"/>
          <w:bCs/>
          <w:color w:val="auto"/>
          <w:szCs w:val="21"/>
          <w:highlight w:val="none"/>
        </w:rPr>
      </w:pP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为加强</w:t>
      </w:r>
      <w:r>
        <w:rPr>
          <w:rFonts w:hint="eastAsia" w:ascii="宋体" w:hAnsi="宋体"/>
          <w:color w:val="auto"/>
          <w:highlight w:val="none"/>
          <w:u w:val="single"/>
        </w:rPr>
        <w:t>中石化丽水7座分布式光伏发电站项目</w:t>
      </w:r>
      <w:r>
        <w:rPr>
          <w:rFonts w:hint="eastAsia" w:ascii="宋体" w:hAnsi="宋体"/>
          <w:bCs/>
          <w:color w:val="auto"/>
          <w:szCs w:val="21"/>
          <w:highlight w:val="none"/>
        </w:rPr>
        <w:t>建设中的廉政建设，保证工程建设高效优质的完成，保证建设资金的安全和有效使用，甲、乙双方特订立如下合同。</w:t>
      </w:r>
    </w:p>
    <w:p>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第一条、甲、乙双方的权利和义务</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1.严格遵守党和国家有关法律法规及建筑、交通、水利、电力、邮电等部门的有关规定。</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2.严格执行工程的合同文件，自觉按合同办事。</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3.双方的业务活动坚持公开、公平、公正、诚信、透明的原则（除法律认定的商业秘密和合同文件另有规定之外），不得损害国家和集体利益，违反工程建设管理规定。</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4.建立健全廉政制度、监督制度和处罚制度，开展廉政教育，设立廉政告示牌，公布举报电话。</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5.发现对方在业务活动中有违反廉政规定的行为，有及时提醒其纠正的权利和义务。</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6.发现对方严重违反本合同义务条款的行为，有向其上级有关部门举报、建议给予处理并要求告知处理结果的权利。</w:t>
      </w:r>
    </w:p>
    <w:p>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第二条、甲方的义务</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1.甲方及其工作人员不得索要或接受乙方的礼金、礼券、有价证券和物品，不得让乙方报销任何应由甲方或个人支付的费用等。</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2.甲方不得有意刁难、拖欠被委托方工程款，不得违反规定批发工程建设费用等。</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3.甲方工作人员不得参加乙方安排的宴请和娱乐活动；不得接受乙方提供的通讯工具、交通工具和高档办公用品。</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4.甲方及其工作人员不得要求或接受乙方为其住房装修、操办婚丧嫁娶、安排配偶子女的工作以及出国出境、旅游等。</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5.甲方工作人员的配偶、子女以及下属单位不得从事与本工程有关的材料设备供应、工程分包、劳务等经济活动。</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6.甲方及其工作人员不得以任何理由向乙方推荐分包单位，不得要求乙方购买合同规定外的材料和设备。</w:t>
      </w:r>
    </w:p>
    <w:p>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第三条、乙方义务</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1.乙方不得以任何理由向甲方及其工作人员行贿或馈赠礼金、礼券、有价证券、礼品。</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2.乙方不得以任何名义为甲方及其工作人员报销应由甲方单位或个人支付的任何费用。</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3.乙方不得要求甲方违反规定批拨、追加工程建设费用等。</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4.乙方不得以任何理由安排甲方工作人员参加宴请及娱乐活动。</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5.乙方不得为甲方单位和个人购置或提供通讯工具、交通工具和高档办公用品等。</w:t>
      </w:r>
    </w:p>
    <w:p>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第四条、违约责任</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1.甲方及其工作人员违反本合同第一、二条，按管理权限，依据有关规定给予党纪、政纪或组织处理；涉嫌犯罪的，移送司法机关追求刑事责任；给乙方单位造成经济损失的，应予以赔偿。</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乙方及其工作人员违反本合同第一、三条，按管理权限，根据有关规定，给予党纪、政纪或组织处理；给甲方单位造成经济损失的，应予以赔偿；情节严重的，甲方建议有关工程建设主管部门给予乙方一至三年内不得参与工程建设项目投标的处罚。</w:t>
      </w:r>
    </w:p>
    <w:p>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第五条、双方约定</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本合同由纪检监察机关负责监督执行。纪检监督机关对本合同执行情况进行抽查，提出属于本合同规定范围的处理意见。</w:t>
      </w:r>
    </w:p>
    <w:p>
      <w:pPr>
        <w:spacing w:line="360" w:lineRule="auto"/>
        <w:ind w:firstLine="422" w:firstLineChars="200"/>
        <w:rPr>
          <w:rFonts w:ascii="宋体" w:hAnsi="宋体"/>
          <w:bCs/>
          <w:color w:val="auto"/>
          <w:szCs w:val="21"/>
          <w:highlight w:val="none"/>
        </w:rPr>
      </w:pPr>
      <w:r>
        <w:rPr>
          <w:rFonts w:hint="eastAsia" w:ascii="宋体" w:hAnsi="宋体"/>
          <w:b/>
          <w:bCs/>
          <w:color w:val="auto"/>
          <w:szCs w:val="21"/>
          <w:highlight w:val="none"/>
        </w:rPr>
        <w:t>第六条、</w:t>
      </w:r>
      <w:r>
        <w:rPr>
          <w:rFonts w:hint="eastAsia" w:ascii="宋体" w:hAnsi="宋体"/>
          <w:color w:val="auto"/>
          <w:szCs w:val="21"/>
          <w:highlight w:val="none"/>
        </w:rPr>
        <w:t>甲乙双方及其人员在合同履行完毕后，发生或发现违反本责任制书规定的行为，仍按本责任制书规定处理。</w:t>
      </w:r>
    </w:p>
    <w:p>
      <w:pPr>
        <w:spacing w:line="360" w:lineRule="auto"/>
        <w:ind w:firstLine="422" w:firstLineChars="200"/>
        <w:rPr>
          <w:rFonts w:ascii="宋体" w:hAnsi="宋体"/>
          <w:bCs/>
          <w:color w:val="auto"/>
          <w:szCs w:val="21"/>
          <w:highlight w:val="none"/>
        </w:rPr>
      </w:pPr>
      <w:r>
        <w:rPr>
          <w:rFonts w:hint="eastAsia" w:ascii="宋体" w:hAnsi="宋体"/>
          <w:b/>
          <w:bCs/>
          <w:color w:val="auto"/>
          <w:szCs w:val="21"/>
          <w:highlight w:val="none"/>
        </w:rPr>
        <w:t>第七条、</w:t>
      </w:r>
      <w:r>
        <w:rPr>
          <w:rFonts w:hint="eastAsia" w:ascii="宋体" w:hAnsi="宋体"/>
          <w:bCs/>
          <w:color w:val="auto"/>
          <w:szCs w:val="21"/>
          <w:highlight w:val="none"/>
        </w:rPr>
        <w:t>本合同作为工程施工承包合同的附件，与工程施工合同具有同等的法律效力，经合同方签署立即生效。</w:t>
      </w:r>
    </w:p>
    <w:p>
      <w:pPr>
        <w:spacing w:line="400" w:lineRule="exact"/>
        <w:ind w:firstLine="420" w:firstLineChars="200"/>
        <w:rPr>
          <w:rFonts w:ascii="宋体" w:hAnsi="宋体"/>
          <w:bCs/>
          <w:color w:val="auto"/>
          <w:szCs w:val="21"/>
          <w:highlight w:val="none"/>
        </w:rPr>
      </w:pPr>
    </w:p>
    <w:p>
      <w:pPr>
        <w:spacing w:line="360" w:lineRule="auto"/>
        <w:ind w:firstLine="420"/>
        <w:rPr>
          <w:rFonts w:ascii="宋体" w:hAnsi="宋体"/>
          <w:color w:val="auto"/>
          <w:szCs w:val="21"/>
          <w:highlight w:val="none"/>
        </w:rPr>
      </w:pPr>
    </w:p>
    <w:p>
      <w:pPr>
        <w:spacing w:line="360" w:lineRule="auto"/>
        <w:ind w:firstLine="420"/>
        <w:rPr>
          <w:rFonts w:ascii="宋体" w:hAnsi="宋体"/>
          <w:color w:val="auto"/>
          <w:szCs w:val="21"/>
          <w:highlight w:val="none"/>
        </w:rPr>
      </w:pPr>
    </w:p>
    <w:p>
      <w:pPr>
        <w:spacing w:line="360" w:lineRule="auto"/>
        <w:ind w:firstLine="420"/>
        <w:rPr>
          <w:rFonts w:ascii="宋体" w:hAnsi="宋体"/>
          <w:color w:val="auto"/>
          <w:szCs w:val="21"/>
          <w:highlight w:val="none"/>
        </w:rPr>
      </w:pPr>
    </w:p>
    <w:p>
      <w:pPr>
        <w:spacing w:line="360" w:lineRule="auto"/>
        <w:ind w:firstLine="420"/>
        <w:rPr>
          <w:rFonts w:ascii="宋体" w:hAnsi="宋体"/>
          <w:color w:val="auto"/>
          <w:szCs w:val="21"/>
          <w:highlight w:val="none"/>
        </w:rPr>
      </w:pPr>
      <w:r>
        <w:rPr>
          <w:rFonts w:hint="eastAsia" w:ascii="宋体" w:hAnsi="宋体"/>
          <w:color w:val="auto"/>
          <w:szCs w:val="21"/>
          <w:highlight w:val="none"/>
        </w:rPr>
        <w:t xml:space="preserve">发包人（公章）：                         承包人（公章）： </w:t>
      </w:r>
      <w:r>
        <w:rPr>
          <w:rFonts w:ascii="宋体" w:hAnsi="宋体"/>
          <w:color w:val="auto"/>
          <w:szCs w:val="21"/>
          <w:highlight w:val="none"/>
        </w:rPr>
        <w:t xml:space="preserve"> </w:t>
      </w:r>
      <w:r>
        <w:rPr>
          <w:rFonts w:hint="eastAsia" w:ascii="宋体" w:hAnsi="宋体"/>
          <w:color w:val="auto"/>
          <w:szCs w:val="21"/>
          <w:highlight w:val="none"/>
        </w:rPr>
        <w:t>　</w:t>
      </w:r>
    </w:p>
    <w:p>
      <w:pPr>
        <w:spacing w:line="360" w:lineRule="auto"/>
        <w:ind w:firstLine="420"/>
        <w:rPr>
          <w:rFonts w:ascii="宋体" w:hAnsi="宋体"/>
          <w:color w:val="auto"/>
          <w:szCs w:val="21"/>
          <w:highlight w:val="none"/>
        </w:rPr>
      </w:pPr>
    </w:p>
    <w:p>
      <w:pPr>
        <w:spacing w:line="360" w:lineRule="auto"/>
        <w:ind w:firstLine="420"/>
        <w:rPr>
          <w:rFonts w:ascii="宋体" w:hAnsi="宋体"/>
          <w:color w:val="auto"/>
          <w:szCs w:val="21"/>
          <w:highlight w:val="none"/>
        </w:rPr>
      </w:pPr>
      <w:r>
        <w:rPr>
          <w:rFonts w:ascii="宋体" w:hAnsi="宋体"/>
          <w:color w:val="auto"/>
          <w:szCs w:val="21"/>
          <w:highlight w:val="none"/>
        </w:rPr>
        <w:tab/>
      </w:r>
    </w:p>
    <w:p>
      <w:pPr>
        <w:spacing w:line="360" w:lineRule="auto"/>
        <w:ind w:firstLine="420"/>
        <w:rPr>
          <w:rFonts w:ascii="宋体" w:hAnsi="宋体"/>
          <w:color w:val="auto"/>
          <w:szCs w:val="21"/>
          <w:highlight w:val="none"/>
        </w:rPr>
      </w:pPr>
      <w:r>
        <w:rPr>
          <w:rFonts w:ascii="宋体" w:hAnsi="宋体"/>
          <w:color w:val="auto"/>
          <w:szCs w:val="21"/>
          <w:highlight w:val="none"/>
        </w:rPr>
        <w:t>法人代表：</w:t>
      </w:r>
      <w:r>
        <w:rPr>
          <w:rFonts w:hint="eastAsia" w:ascii="宋体" w:hAnsi="宋体"/>
          <w:color w:val="auto"/>
          <w:szCs w:val="21"/>
          <w:highlight w:val="none"/>
        </w:rPr>
        <w:t xml:space="preserve">                              </w:t>
      </w:r>
      <w:r>
        <w:rPr>
          <w:rFonts w:ascii="宋体" w:hAnsi="宋体"/>
          <w:color w:val="auto"/>
          <w:szCs w:val="21"/>
          <w:highlight w:val="none"/>
        </w:rPr>
        <w:t>法人代表：</w:t>
      </w:r>
    </w:p>
    <w:p>
      <w:pPr>
        <w:spacing w:line="360" w:lineRule="auto"/>
        <w:ind w:firstLine="420"/>
        <w:rPr>
          <w:rFonts w:ascii="宋体" w:hAnsi="宋体"/>
          <w:color w:val="auto"/>
          <w:szCs w:val="21"/>
          <w:highlight w:val="none"/>
        </w:rPr>
      </w:pPr>
    </w:p>
    <w:p>
      <w:pPr>
        <w:spacing w:line="360" w:lineRule="auto"/>
        <w:ind w:firstLine="420"/>
        <w:rPr>
          <w:rFonts w:ascii="宋体" w:hAnsi="宋体"/>
          <w:color w:val="auto"/>
          <w:szCs w:val="21"/>
          <w:highlight w:val="none"/>
        </w:rPr>
      </w:pP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年  月  日                              年  月  日</w:t>
      </w:r>
    </w:p>
    <w:p>
      <w:pPr>
        <w:rPr>
          <w:rFonts w:ascii="宋体" w:hAnsi="宋体"/>
          <w:color w:val="auto"/>
          <w:sz w:val="24"/>
          <w:highlight w:val="none"/>
        </w:rPr>
      </w:pPr>
    </w:p>
    <w:p>
      <w:pPr>
        <w:spacing w:line="400" w:lineRule="exact"/>
        <w:ind w:left="61" w:leftChars="29" w:firstLine="105" w:firstLineChars="50"/>
        <w:rPr>
          <w:rFonts w:ascii="宋体" w:hAnsi="宋体" w:cs="宋体"/>
          <w:color w:val="auto"/>
          <w:highlight w:val="none"/>
        </w:rPr>
      </w:pPr>
    </w:p>
    <w:p>
      <w:pPr>
        <w:spacing w:line="400" w:lineRule="exact"/>
        <w:ind w:left="61" w:leftChars="29" w:firstLine="105" w:firstLineChars="50"/>
        <w:rPr>
          <w:rFonts w:ascii="宋体" w:hAnsi="宋体" w:cs="宋体"/>
          <w:color w:val="auto"/>
          <w:highlight w:val="none"/>
        </w:rPr>
      </w:pPr>
    </w:p>
    <w:p>
      <w:pPr>
        <w:spacing w:line="400" w:lineRule="exact"/>
        <w:ind w:left="61" w:leftChars="29" w:firstLine="105" w:firstLineChars="50"/>
        <w:rPr>
          <w:rFonts w:ascii="宋体" w:hAnsi="宋体" w:cs="宋体"/>
          <w:color w:val="auto"/>
          <w:highlight w:val="none"/>
        </w:rPr>
      </w:pPr>
    </w:p>
    <w:p>
      <w:pPr>
        <w:spacing w:line="400" w:lineRule="exact"/>
        <w:ind w:left="61" w:leftChars="29" w:firstLine="105" w:firstLineChars="50"/>
        <w:rPr>
          <w:rFonts w:ascii="宋体" w:hAnsi="宋体" w:cs="宋体"/>
          <w:color w:val="auto"/>
          <w:highlight w:val="none"/>
        </w:rPr>
      </w:pPr>
    </w:p>
    <w:p>
      <w:pPr>
        <w:spacing w:line="400" w:lineRule="exact"/>
        <w:ind w:left="61" w:leftChars="29" w:firstLine="105" w:firstLineChars="50"/>
        <w:rPr>
          <w:rFonts w:ascii="宋体" w:hAnsi="宋体" w:cs="宋体"/>
          <w:color w:val="auto"/>
          <w:highlight w:val="none"/>
        </w:rPr>
      </w:pPr>
    </w:p>
    <w:p>
      <w:pPr>
        <w:spacing w:line="400" w:lineRule="exact"/>
        <w:ind w:left="61" w:leftChars="29" w:firstLine="105" w:firstLineChars="50"/>
        <w:rPr>
          <w:rFonts w:ascii="宋体" w:hAnsi="宋体" w:cs="宋体"/>
          <w:color w:val="auto"/>
          <w:highlight w:val="none"/>
        </w:rPr>
      </w:pPr>
    </w:p>
    <w:p>
      <w:pPr>
        <w:pStyle w:val="76"/>
        <w:rPr>
          <w:color w:val="auto"/>
          <w:highlight w:val="none"/>
        </w:rPr>
      </w:pPr>
    </w:p>
    <w:p>
      <w:pPr>
        <w:pStyle w:val="76"/>
        <w:rPr>
          <w:color w:val="auto"/>
          <w:highlight w:val="none"/>
        </w:rPr>
      </w:pPr>
    </w:p>
    <w:p>
      <w:pPr>
        <w:rPr>
          <w:color w:val="auto"/>
          <w:highlight w:val="none"/>
        </w:rPr>
      </w:pPr>
    </w:p>
    <w:p>
      <w:pPr>
        <w:pStyle w:val="76"/>
        <w:rPr>
          <w:color w:val="auto"/>
          <w:highlight w:val="none"/>
        </w:rPr>
      </w:pPr>
    </w:p>
    <w:p>
      <w:pPr>
        <w:pStyle w:val="76"/>
        <w:rPr>
          <w:color w:val="auto"/>
          <w:highlight w:val="none"/>
        </w:rPr>
      </w:pPr>
    </w:p>
    <w:p>
      <w:pPr>
        <w:rPr>
          <w:color w:val="auto"/>
          <w:highlight w:val="none"/>
        </w:rPr>
      </w:pPr>
    </w:p>
    <w:p>
      <w:pPr>
        <w:spacing w:line="360" w:lineRule="auto"/>
        <w:rPr>
          <w:color w:val="auto"/>
          <w:highlight w:val="none"/>
        </w:rPr>
      </w:pPr>
      <w:bookmarkStart w:id="66" w:name="_Toc61771199"/>
    </w:p>
    <w:p>
      <w:pPr>
        <w:rPr>
          <w:color w:val="auto"/>
          <w:highlight w:val="none"/>
        </w:rPr>
      </w:pPr>
      <w:r>
        <w:rPr>
          <w:rFonts w:hint="eastAsia" w:ascii="宋体" w:hAnsi="宋体" w:cs="宋体"/>
          <w:color w:val="auto"/>
          <w:highlight w:val="none"/>
        </w:rPr>
        <w:t>附件</w:t>
      </w:r>
      <w:r>
        <w:rPr>
          <w:rFonts w:ascii="宋体" w:hAnsi="宋体" w:cs="宋体"/>
          <w:color w:val="auto"/>
          <w:highlight w:val="none"/>
        </w:rPr>
        <w:t>5</w:t>
      </w:r>
      <w:r>
        <w:rPr>
          <w:rFonts w:hint="eastAsia" w:ascii="宋体" w:hAnsi="宋体" w:cs="宋体"/>
          <w:color w:val="auto"/>
          <w:highlight w:val="none"/>
        </w:rPr>
        <w:t>：</w:t>
      </w:r>
    </w:p>
    <w:p>
      <w:pPr>
        <w:pStyle w:val="4"/>
        <w:spacing w:line="360" w:lineRule="auto"/>
        <w:jc w:val="center"/>
        <w:rPr>
          <w:rFonts w:ascii="宋体" w:hAnsi="宋体" w:cs="黑体"/>
          <w:color w:val="auto"/>
          <w:highlight w:val="none"/>
        </w:rPr>
      </w:pPr>
      <w:r>
        <w:rPr>
          <w:rFonts w:hint="eastAsia" w:ascii="宋体" w:hAnsi="宋体" w:cs="黑体"/>
          <w:color w:val="auto"/>
          <w:highlight w:val="none"/>
        </w:rPr>
        <w:t>工程施工HSSE协议</w:t>
      </w:r>
    </w:p>
    <w:p>
      <w:pPr>
        <w:adjustRightInd w:val="0"/>
        <w:spacing w:after="120" w:line="440" w:lineRule="exact"/>
        <w:textAlignment w:val="baseline"/>
        <w:rPr>
          <w:bCs/>
          <w:color w:val="auto"/>
          <w:kern w:val="0"/>
          <w:szCs w:val="21"/>
          <w:highlight w:val="none"/>
          <w:u w:val="single"/>
        </w:rPr>
      </w:pPr>
      <w:r>
        <w:rPr>
          <w:rFonts w:hint="eastAsia"/>
          <w:bCs/>
          <w:color w:val="auto"/>
          <w:kern w:val="0"/>
          <w:szCs w:val="21"/>
          <w:highlight w:val="none"/>
        </w:rPr>
        <w:t>甲方：</w:t>
      </w:r>
      <w:r>
        <w:rPr>
          <w:bCs/>
          <w:color w:val="auto"/>
          <w:kern w:val="0"/>
          <w:szCs w:val="21"/>
          <w:highlight w:val="none"/>
          <w:u w:val="single"/>
        </w:rPr>
        <w:t xml:space="preserve"> </w:t>
      </w:r>
      <w:r>
        <w:rPr>
          <w:rFonts w:hint="eastAsia"/>
          <w:bCs/>
          <w:color w:val="auto"/>
          <w:kern w:val="0"/>
          <w:szCs w:val="21"/>
          <w:highlight w:val="none"/>
          <w:u w:val="single"/>
        </w:rPr>
        <w:t xml:space="preserve">                                     </w:t>
      </w:r>
      <w:r>
        <w:rPr>
          <w:rFonts w:hint="eastAsia"/>
          <w:bCs/>
          <w:color w:val="auto"/>
          <w:kern w:val="0"/>
          <w:szCs w:val="21"/>
          <w:highlight w:val="none"/>
        </w:rPr>
        <w:t xml:space="preserve">    </w:t>
      </w:r>
    </w:p>
    <w:p>
      <w:pPr>
        <w:adjustRightInd w:val="0"/>
        <w:spacing w:after="120" w:line="440" w:lineRule="exact"/>
        <w:textAlignment w:val="baseline"/>
        <w:rPr>
          <w:bCs/>
          <w:color w:val="auto"/>
          <w:kern w:val="0"/>
          <w:szCs w:val="21"/>
          <w:highlight w:val="none"/>
        </w:rPr>
      </w:pPr>
      <w:r>
        <w:rPr>
          <w:rFonts w:hint="eastAsia"/>
          <w:bCs/>
          <w:color w:val="auto"/>
          <w:kern w:val="0"/>
          <w:szCs w:val="21"/>
          <w:highlight w:val="none"/>
        </w:rPr>
        <w:t>乙方：</w:t>
      </w:r>
      <w:r>
        <w:rPr>
          <w:bCs/>
          <w:color w:val="auto"/>
          <w:kern w:val="0"/>
          <w:szCs w:val="21"/>
          <w:highlight w:val="none"/>
          <w:u w:val="single"/>
        </w:rPr>
        <w:t xml:space="preserve"> </w:t>
      </w:r>
      <w:r>
        <w:rPr>
          <w:rFonts w:hint="eastAsia"/>
          <w:bCs/>
          <w:color w:val="auto"/>
          <w:kern w:val="0"/>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为在</w:t>
      </w:r>
      <w:r>
        <w:rPr>
          <w:rFonts w:hint="eastAsia" w:ascii="宋体" w:hAnsi="宋体"/>
          <w:b/>
          <w:bCs/>
          <w:color w:val="auto"/>
          <w:highlight w:val="none"/>
          <w:u w:val="single"/>
        </w:rPr>
        <w:t>中石化丽水7座分布式光伏发电站项目</w:t>
      </w:r>
      <w:r>
        <w:rPr>
          <w:rFonts w:hint="eastAsia" w:ascii="宋体" w:hAnsi="宋体"/>
          <w:color w:val="auto"/>
          <w:szCs w:val="21"/>
          <w:highlight w:val="none"/>
        </w:rPr>
        <w:t>合同的实施过程中明确甲乙双方健康、安全、公共安全和环保（简称HSSE）职责，切实做好本项目的HSSE管理工作，保证甲、乙双方作业人员的人身安全和财产安全，依照国家、地方政府以及甲方相关HSSE规定，经双方协商一致，特签订本协议，以共同遵照执行。</w:t>
      </w:r>
    </w:p>
    <w:p>
      <w:pPr>
        <w:tabs>
          <w:tab w:val="left" w:pos="2817"/>
          <w:tab w:val="left" w:pos="618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第一条 甲方的职责、权利和义务</w:t>
      </w:r>
    </w:p>
    <w:p>
      <w:pPr>
        <w:spacing w:line="360" w:lineRule="auto"/>
        <w:ind w:left="-61" w:firstLine="420" w:firstLineChars="200"/>
        <w:rPr>
          <w:rFonts w:ascii="宋体" w:hAnsi="宋体"/>
          <w:color w:val="auto"/>
          <w:szCs w:val="21"/>
          <w:highlight w:val="none"/>
        </w:rPr>
      </w:pPr>
      <w:r>
        <w:rPr>
          <w:rFonts w:hint="eastAsia" w:ascii="宋体" w:hAnsi="宋体"/>
          <w:color w:val="auto"/>
          <w:szCs w:val="21"/>
          <w:highlight w:val="none"/>
        </w:rPr>
        <w:t>（一） 甲方的职责、权利</w:t>
      </w:r>
    </w:p>
    <w:p>
      <w:pPr>
        <w:spacing w:line="360" w:lineRule="auto"/>
        <w:ind w:left="-61" w:firstLine="420" w:firstLineChars="200"/>
        <w:rPr>
          <w:rFonts w:ascii="宋体" w:hAnsi="宋体"/>
          <w:color w:val="auto"/>
          <w:szCs w:val="21"/>
          <w:highlight w:val="none"/>
        </w:rPr>
      </w:pPr>
      <w:r>
        <w:rPr>
          <w:rFonts w:hint="eastAsia" w:ascii="宋体" w:hAnsi="宋体"/>
          <w:color w:val="auto"/>
          <w:szCs w:val="21"/>
          <w:highlight w:val="none"/>
        </w:rPr>
        <w:t>1．负责对乙方的工商营业执照、企业资质证、安全生产许可证、分包商安全资格证、特种作业操作证及主要设备清单的符合性、有效性进行审查，保存上述各种资质的复印件，并要求乙方在复印件上加盖单位行政印章（复印的行政章无效）。</w:t>
      </w:r>
    </w:p>
    <w:p>
      <w:pPr>
        <w:spacing w:line="360" w:lineRule="auto"/>
        <w:ind w:left="-61" w:firstLine="420" w:firstLineChars="200"/>
        <w:rPr>
          <w:rFonts w:ascii="宋体" w:hAnsi="宋体"/>
          <w:color w:val="auto"/>
          <w:szCs w:val="21"/>
          <w:highlight w:val="none"/>
        </w:rPr>
      </w:pPr>
      <w:r>
        <w:rPr>
          <w:rFonts w:hint="eastAsia" w:ascii="宋体" w:hAnsi="宋体"/>
          <w:color w:val="auto"/>
          <w:szCs w:val="21"/>
          <w:highlight w:val="none"/>
        </w:rPr>
        <w:t>2. 对乙方的HSSE工作负有管理、监督、检查和考核责任。</w:t>
      </w:r>
    </w:p>
    <w:p>
      <w:pPr>
        <w:spacing w:line="360" w:lineRule="auto"/>
        <w:ind w:left="-61" w:firstLine="420" w:firstLineChars="200"/>
        <w:rPr>
          <w:rFonts w:ascii="宋体" w:hAnsi="宋体"/>
          <w:color w:val="auto"/>
          <w:szCs w:val="21"/>
          <w:highlight w:val="none"/>
        </w:rPr>
      </w:pPr>
      <w:r>
        <w:rPr>
          <w:rFonts w:hint="eastAsia" w:ascii="宋体" w:hAnsi="宋体"/>
          <w:color w:val="auto"/>
          <w:szCs w:val="21"/>
          <w:highlight w:val="none"/>
        </w:rPr>
        <w:t>3. 组织HSSE检查，监督乙方施工过程中的HSSE管理。甲方有权对乙方施工过程中存在的HSSE隐患提出整改要求，并监督乙方及时整改。乙方存在重大安全隐患时，甲方有权责令其停工。</w:t>
      </w:r>
    </w:p>
    <w:p>
      <w:pPr>
        <w:spacing w:line="360" w:lineRule="auto"/>
        <w:ind w:left="-61" w:firstLine="420" w:firstLineChars="200"/>
        <w:rPr>
          <w:rFonts w:ascii="宋体" w:hAnsi="宋体"/>
          <w:color w:val="auto"/>
          <w:szCs w:val="21"/>
          <w:highlight w:val="none"/>
        </w:rPr>
      </w:pPr>
      <w:r>
        <w:rPr>
          <w:rFonts w:hint="eastAsia" w:ascii="宋体" w:hAnsi="宋体"/>
          <w:color w:val="auto"/>
          <w:szCs w:val="21"/>
          <w:highlight w:val="none"/>
        </w:rPr>
        <w:t>4. 督促乙方针对施工特点做好其施工人员的HSSE教育培训工作，开展危害识别和风险控制；核实乙方提供的接受自身单位安全教育培训相关资料证明，并监督实施。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开工前，负责审查乙方施工安全、环保技术措施和施工组织设计（方案），审查合格后，签发开工报告。</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6．有权对违反国家和甲方HSSE相关管理规定的人员清退出施工现场。</w:t>
      </w:r>
    </w:p>
    <w:p>
      <w:pPr>
        <w:tabs>
          <w:tab w:val="left" w:pos="1275"/>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 有权要求乙方参加甲方组织的应急预案演练及各种HSSE活动。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8．督促乙方建立健全符合要求的HSSE组织机构及各项HSSE管理制度，配备专、兼职HSSE管理人员和工程技术人员。</w:t>
      </w:r>
    </w:p>
    <w:p>
      <w:pPr>
        <w:tabs>
          <w:tab w:val="left" w:pos="1275"/>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9. 乙方在施工过程中，施工人员有违章、违规行为，或者乙方对甲方下发的《问题整改通知单》不整改或整改不彻底的，按主合同第八条第一款处理。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 出现事故后，在法定范围内监督并参加事故调查，督促乙方严格按照事故“四不放过”的原则进行处理。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(二） 甲方的义务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对乙方进场施工人员进行HSSE教育培训、考试和安全技术措施交底，并对工作岗位中存在的危害因素进行告知。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2．指导乙方解决影响安全、公共安全、环保、职业卫生工作的问题。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监督乙方施工、检维修期间水、气、声、固废及扬尘管理是否符合要求。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其它义务：             。</w:t>
      </w:r>
    </w:p>
    <w:p>
      <w:pPr>
        <w:tabs>
          <w:tab w:val="left" w:pos="2817"/>
          <w:tab w:val="left" w:pos="618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第二条 乙方的权利和义务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1．对所承包工程项目内的HSSE工作全面负责，确保本单位人员全面履行HSSE职责。</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2．严格遵守国家、地方政府及甲方有关安全生产的法律、法规、制度和规定。</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3．建立健全符合甲方要求的HSSE组织机构及各项HSSE管理制度，配备专、兼职HSSE管理人员和工程技术人员，并向甲方提供企业主要负责人、项目负责人及专职安全生产管理人员的资格证。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向甲方申报施工安全技术措施和施工组织设计（方案），负责对施工人员进行安全技术措施交底，做好开工前及施工过程的HSSE教育培训。负责现场HSSE检查和安全监护工作，并定期向甲方汇报单位HSSE管理工作情况，积极参加甲方组织的有关安全生产会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凡在危险区域施工作业的，应按照甲方指定的路线通行并在划定区域内施工。在施工前应按规定办理相应的作业许可证（高处、临时用电、动火、破土、进入受限空间、起重、盲板抽堵等特殊作业许可证和非常规作业许可证），经甲方审批后，方可进行作业。</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6．施工人员应认真执行本岗位安全技术操作规程，特种作业人员须持证上岗。</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7.参加项目的承包商人员应有健康体检合格证明，无从事作业所涉及的禁忌症。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8.严格执行甲方的HSSE管理制度，服从甲方的HSSE监督管理，及时整改甲方提出的HSSE问题和隐患，并将整改情况按时反馈至甲方HSSE管理部门和项目管理部门。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针对项目特点，编制应急救援预案（应急处置措施）并定期组织演练；突发事件应急处置过程中或发生事故后，要服从甲方的指挥，发生事故时，在保证人员安全的前提下，积极组织抢险救援，避免事件（事故）进一步扩大。</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11.有权知情合同服务范围内的施工场所和岗位存在的危险有害因素、防范措施及事故应急联系方式，并采取有效措施加以控制。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12．有权要求甲方完善甲方应该保证的安全生产条件，有权拒绝甲方的违章指挥或强令冒险作业。</w:t>
      </w:r>
    </w:p>
    <w:p>
      <w:pPr>
        <w:spacing w:line="360" w:lineRule="auto"/>
        <w:ind w:firstLine="420" w:firstLineChars="200"/>
        <w:outlineLvl w:val="0"/>
        <w:rPr>
          <w:rFonts w:ascii="宋体" w:hAnsi="宋体"/>
          <w:color w:val="auto"/>
          <w:szCs w:val="21"/>
          <w:highlight w:val="none"/>
        </w:rPr>
      </w:pPr>
      <w:r>
        <w:rPr>
          <w:rFonts w:hint="eastAsia" w:ascii="宋体" w:hAnsi="宋体"/>
          <w:color w:val="auto"/>
          <w:szCs w:val="21"/>
          <w:highlight w:val="none"/>
        </w:rPr>
        <w:t>（二）乙方的义务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向甲方提供工商营业执照、企业资质证、安全生产许可证、分包商安全资格证、特种作业操作证及主要设备清单等相关资料，在上述各种资质的复印件上加盖单位行政印章（复印的行政章无效），并为其提供的相应证件负责。</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在施工前应将施工人员名单上和相应身份证复印件、照片报甲方，按要求自觉接受甲方的HSSE教育、监督、检查、考核和证件办理。人员调整乙方必须及时呈报甲方，项目结束，乙方应及时交还《施工现场出入证》。同时提供乙方接受自身单位安全教育培训相关资料证明。</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参加项目的所有人员已经过当地公安系统进行身份信息采集、比对，防止非法人员入场。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4．应为员工提供合格的劳动保护用品和个体防护用品，完善施工现场安全防护设施，落实安全技措费。</w:t>
      </w:r>
    </w:p>
    <w:p>
      <w:pPr>
        <w:spacing w:line="360" w:lineRule="auto"/>
        <w:ind w:firstLine="422"/>
        <w:rPr>
          <w:rFonts w:ascii="宋体" w:hAnsi="宋体"/>
          <w:bCs/>
          <w:color w:val="auto"/>
          <w:szCs w:val="21"/>
          <w:highlight w:val="none"/>
        </w:rPr>
      </w:pPr>
      <w:r>
        <w:rPr>
          <w:rFonts w:hint="eastAsia" w:ascii="宋体" w:hAnsi="宋体"/>
          <w:bCs/>
          <w:color w:val="auto"/>
          <w:szCs w:val="21"/>
          <w:highlight w:val="none"/>
        </w:rPr>
        <w:t>5. 确保施工、检维修期间水、气、声、固废及扬尘管理符合要求。施工产生的废气废料、油污水、工程垃圾等，涉及由乙方负责移出施工现场的，应依法妥善处理，严禁在油库、加油站及周边地区排放，违反规定的，由乙方承担一切由此产生的后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6．承担因乙方责任给甲方造成的经济损失以及政府安全环保等部门的罚款；承担因不服从甲方管理，违反HSSE管理规定造成事故或事件的全部责任。</w:t>
      </w:r>
    </w:p>
    <w:p>
      <w:pPr>
        <w:spacing w:line="360" w:lineRule="auto"/>
        <w:ind w:firstLine="420"/>
        <w:rPr>
          <w:rFonts w:ascii="宋体" w:hAnsi="宋体"/>
          <w:bCs/>
          <w:color w:val="auto"/>
          <w:szCs w:val="21"/>
          <w:highlight w:val="none"/>
        </w:rPr>
      </w:pPr>
      <w:r>
        <w:rPr>
          <w:rFonts w:hint="eastAsia" w:ascii="宋体" w:hAnsi="宋体"/>
          <w:color w:val="auto"/>
          <w:szCs w:val="21"/>
          <w:highlight w:val="none"/>
        </w:rPr>
        <w:t>7．发生事故后，应立即向甲方HSSE管理部门报告，并配合甲方做好事故的调查和处理</w:t>
      </w:r>
      <w:r>
        <w:rPr>
          <w:rFonts w:hint="eastAsia" w:ascii="宋体" w:hAnsi="宋体"/>
          <w:bCs/>
          <w:color w:val="auto"/>
          <w:szCs w:val="21"/>
          <w:highlight w:val="none"/>
        </w:rPr>
        <w:t>工作。</w:t>
      </w:r>
    </w:p>
    <w:p>
      <w:pPr>
        <w:spacing w:line="360" w:lineRule="auto"/>
        <w:ind w:firstLine="420"/>
        <w:rPr>
          <w:rFonts w:ascii="宋体" w:hAnsi="宋体"/>
          <w:bCs/>
          <w:color w:val="auto"/>
          <w:szCs w:val="21"/>
          <w:highlight w:val="none"/>
        </w:rPr>
      </w:pPr>
      <w:r>
        <w:rPr>
          <w:rFonts w:hint="eastAsia" w:ascii="宋体" w:hAnsi="宋体"/>
          <w:bCs/>
          <w:color w:val="auto"/>
          <w:szCs w:val="21"/>
          <w:highlight w:val="none"/>
        </w:rPr>
        <w:t>8. 为员工办理人身意外伤害等保险。</w:t>
      </w:r>
    </w:p>
    <w:p>
      <w:pPr>
        <w:spacing w:line="360" w:lineRule="auto"/>
        <w:ind w:firstLine="420"/>
        <w:rPr>
          <w:rFonts w:ascii="宋体" w:hAnsi="宋体"/>
          <w:bCs/>
          <w:color w:val="auto"/>
          <w:szCs w:val="21"/>
          <w:highlight w:val="none"/>
        </w:rPr>
      </w:pPr>
      <w:r>
        <w:rPr>
          <w:rFonts w:hint="eastAsia" w:ascii="宋体" w:hAnsi="宋体"/>
          <w:bCs/>
          <w:color w:val="auto"/>
          <w:szCs w:val="21"/>
          <w:highlight w:val="none"/>
        </w:rPr>
        <w:t>9. 参加项目的承包商管理人员发生变更应及时向甲方提出变更申请。</w:t>
      </w:r>
    </w:p>
    <w:p>
      <w:pPr>
        <w:spacing w:line="360" w:lineRule="auto"/>
        <w:ind w:firstLine="420"/>
        <w:rPr>
          <w:rFonts w:ascii="宋体" w:hAnsi="宋体"/>
          <w:bCs/>
          <w:color w:val="auto"/>
          <w:szCs w:val="21"/>
          <w:highlight w:val="none"/>
        </w:rPr>
      </w:pPr>
      <w:r>
        <w:rPr>
          <w:rFonts w:hint="eastAsia" w:ascii="宋体" w:hAnsi="宋体"/>
          <w:bCs/>
          <w:color w:val="auto"/>
          <w:szCs w:val="21"/>
          <w:highlight w:val="none"/>
        </w:rPr>
        <w:t>10. 对使用的施工设备、机具进行定期检查、维修，确保设备、机具始终处于良好的工作状态。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11．其它义务：</w:t>
      </w:r>
      <w:r>
        <w:rPr>
          <w:rFonts w:hint="eastAsia" w:ascii="宋体" w:hAnsi="宋体"/>
          <w:b/>
          <w:bCs/>
          <w:color w:val="auto"/>
          <w:szCs w:val="21"/>
          <w:highlight w:val="none"/>
        </w:rPr>
        <w:t>乙方在进场施工期间，需遵守甲方的HSSE管理制度，如有违反甲方HSSE管理制度，按省公司下发的《施工现场承包商AB类问题处罚标准》文件要求进行处罚</w:t>
      </w:r>
      <w:r>
        <w:rPr>
          <w:rFonts w:hint="eastAsia"/>
          <w:b/>
          <w:color w:val="auto"/>
          <w:szCs w:val="21"/>
          <w:highlight w:val="none"/>
        </w:rPr>
        <w:t>处罚金额不低于处罚细则中对甲方责任人的扣罚额度</w:t>
      </w:r>
      <w:r>
        <w:rPr>
          <w:rFonts w:hint="eastAsia" w:ascii="宋体" w:hAnsi="宋体"/>
          <w:b/>
          <w:bCs/>
          <w:color w:val="auto"/>
          <w:szCs w:val="21"/>
          <w:highlight w:val="none"/>
        </w:rPr>
        <w:t>，并承担由于自身安全措施不力造成事故的责任。</w:t>
      </w:r>
    </w:p>
    <w:p>
      <w:pPr>
        <w:spacing w:line="360" w:lineRule="auto"/>
        <w:ind w:firstLine="420"/>
        <w:rPr>
          <w:rFonts w:ascii="宋体" w:hAnsi="宋体"/>
          <w:bCs/>
          <w:color w:val="auto"/>
          <w:szCs w:val="21"/>
          <w:highlight w:val="none"/>
        </w:rPr>
      </w:pPr>
      <w:r>
        <w:rPr>
          <w:rFonts w:hint="eastAsia" w:ascii="宋体" w:hAnsi="宋体"/>
          <w:bCs/>
          <w:color w:val="auto"/>
          <w:szCs w:val="21"/>
          <w:highlight w:val="none"/>
        </w:rPr>
        <w:t>第三条 附则</w:t>
      </w:r>
    </w:p>
    <w:p>
      <w:pPr>
        <w:spacing w:line="360" w:lineRule="auto"/>
        <w:ind w:firstLine="420"/>
        <w:rPr>
          <w:rFonts w:ascii="宋体" w:hAnsi="宋体"/>
          <w:bCs/>
          <w:color w:val="auto"/>
          <w:szCs w:val="21"/>
          <w:highlight w:val="none"/>
        </w:rPr>
      </w:pPr>
      <w:r>
        <w:rPr>
          <w:rFonts w:hint="eastAsia" w:ascii="宋体" w:hAnsi="宋体"/>
          <w:bCs/>
          <w:color w:val="auto"/>
          <w:szCs w:val="21"/>
          <w:highlight w:val="none"/>
        </w:rPr>
        <w:t>1．甲乙双方已明确本协议所规定的所有内容，双方一致同意严格遵守本协议的要求进行合作。</w:t>
      </w:r>
    </w:p>
    <w:p>
      <w:pPr>
        <w:spacing w:line="360" w:lineRule="auto"/>
        <w:ind w:firstLine="420"/>
        <w:rPr>
          <w:rFonts w:ascii="宋体" w:hAnsi="宋体"/>
          <w:bCs/>
          <w:color w:val="auto"/>
          <w:szCs w:val="21"/>
          <w:highlight w:val="none"/>
        </w:rPr>
      </w:pPr>
      <w:r>
        <w:rPr>
          <w:rFonts w:hint="eastAsia" w:ascii="宋体" w:hAnsi="宋体"/>
          <w:bCs/>
          <w:color w:val="auto"/>
          <w:szCs w:val="21"/>
          <w:highlight w:val="none"/>
        </w:rPr>
        <w:t>2. 本协议自甲、乙双方签字和盖章之日起至施工结束有效。</w:t>
      </w:r>
    </w:p>
    <w:p>
      <w:pPr>
        <w:spacing w:line="360" w:lineRule="auto"/>
        <w:ind w:firstLine="420"/>
        <w:rPr>
          <w:rFonts w:ascii="宋体" w:hAnsi="宋体"/>
          <w:bCs/>
          <w:color w:val="auto"/>
          <w:szCs w:val="21"/>
          <w:highlight w:val="none"/>
        </w:rPr>
      </w:pPr>
      <w:r>
        <w:rPr>
          <w:rFonts w:hint="eastAsia" w:ascii="宋体" w:hAnsi="宋体"/>
          <w:bCs/>
          <w:color w:val="auto"/>
          <w:szCs w:val="21"/>
          <w:highlight w:val="none"/>
        </w:rPr>
        <w:t>3．本协议一式两份，甲方、乙方各持一份。每份具有与本项目主合同同等法律效力。</w:t>
      </w:r>
    </w:p>
    <w:p>
      <w:pPr>
        <w:spacing w:line="360" w:lineRule="auto"/>
        <w:ind w:firstLine="420"/>
        <w:rPr>
          <w:rFonts w:ascii="宋体" w:hAnsi="宋体"/>
          <w:bCs/>
          <w:color w:val="auto"/>
          <w:szCs w:val="21"/>
          <w:highlight w:val="none"/>
        </w:rPr>
      </w:pPr>
      <w:r>
        <w:rPr>
          <w:rFonts w:hint="eastAsia" w:ascii="宋体" w:hAnsi="宋体"/>
          <w:bCs/>
          <w:color w:val="auto"/>
          <w:szCs w:val="21"/>
          <w:highlight w:val="none"/>
        </w:rPr>
        <w:t xml:space="preserve">4．本协议随主合同的变更、解除或终止而变更、解除或终止。                   </w:t>
      </w:r>
    </w:p>
    <w:p>
      <w:pPr>
        <w:spacing w:line="360" w:lineRule="auto"/>
        <w:ind w:firstLine="420"/>
        <w:rPr>
          <w:rFonts w:ascii="宋体" w:hAnsi="宋体"/>
          <w:bCs/>
          <w:color w:val="auto"/>
          <w:szCs w:val="21"/>
          <w:highlight w:val="none"/>
        </w:rPr>
      </w:pPr>
      <w:r>
        <w:rPr>
          <w:rFonts w:hint="eastAsia" w:ascii="宋体" w:hAnsi="宋体"/>
          <w:bCs/>
          <w:color w:val="auto"/>
          <w:szCs w:val="21"/>
          <w:highlight w:val="none"/>
        </w:rPr>
        <w:t>5．未尽事宜，双方协商解决或申请独立第三方仲裁。</w:t>
      </w:r>
    </w:p>
    <w:p>
      <w:pPr>
        <w:adjustRightInd w:val="0"/>
        <w:spacing w:line="500" w:lineRule="exact"/>
        <w:textAlignment w:val="baseline"/>
        <w:rPr>
          <w:bCs/>
          <w:color w:val="auto"/>
          <w:kern w:val="0"/>
          <w:szCs w:val="21"/>
          <w:highlight w:val="none"/>
        </w:rPr>
      </w:pPr>
    </w:p>
    <w:p>
      <w:pPr>
        <w:adjustRightInd w:val="0"/>
        <w:spacing w:after="120" w:line="480" w:lineRule="exact"/>
        <w:ind w:firstLine="315" w:firstLineChars="150"/>
        <w:textAlignment w:val="baseline"/>
        <w:rPr>
          <w:bCs/>
          <w:color w:val="auto"/>
          <w:kern w:val="0"/>
          <w:szCs w:val="21"/>
          <w:highlight w:val="none"/>
        </w:rPr>
      </w:pPr>
      <w:r>
        <w:rPr>
          <w:rFonts w:hint="eastAsia"/>
          <w:bCs/>
          <w:color w:val="auto"/>
          <w:kern w:val="0"/>
          <w:szCs w:val="21"/>
          <w:highlight w:val="none"/>
        </w:rPr>
        <w:t>甲方单位：（盖章）</w:t>
      </w:r>
      <w:r>
        <w:rPr>
          <w:bCs/>
          <w:color w:val="auto"/>
          <w:kern w:val="0"/>
          <w:szCs w:val="21"/>
          <w:highlight w:val="none"/>
        </w:rPr>
        <w:t xml:space="preserve">                      </w:t>
      </w:r>
      <w:r>
        <w:rPr>
          <w:rFonts w:hint="eastAsia"/>
          <w:bCs/>
          <w:color w:val="auto"/>
          <w:kern w:val="0"/>
          <w:szCs w:val="21"/>
          <w:highlight w:val="none"/>
        </w:rPr>
        <w:t>乙方单位：（盖章）</w:t>
      </w:r>
    </w:p>
    <w:p>
      <w:pPr>
        <w:adjustRightInd w:val="0"/>
        <w:spacing w:after="120" w:line="480" w:lineRule="exact"/>
        <w:ind w:left="420" w:leftChars="200"/>
        <w:textAlignment w:val="baseline"/>
        <w:rPr>
          <w:bCs/>
          <w:color w:val="auto"/>
          <w:kern w:val="0"/>
          <w:szCs w:val="21"/>
          <w:highlight w:val="none"/>
        </w:rPr>
      </w:pPr>
    </w:p>
    <w:p>
      <w:pPr>
        <w:adjustRightInd w:val="0"/>
        <w:spacing w:after="120" w:line="480" w:lineRule="exact"/>
        <w:ind w:firstLine="315" w:firstLineChars="150"/>
        <w:textAlignment w:val="baseline"/>
        <w:rPr>
          <w:bCs/>
          <w:color w:val="auto"/>
          <w:kern w:val="0"/>
          <w:szCs w:val="21"/>
          <w:highlight w:val="none"/>
        </w:rPr>
      </w:pPr>
      <w:r>
        <w:rPr>
          <w:rFonts w:hint="eastAsia"/>
          <w:bCs/>
          <w:color w:val="auto"/>
          <w:kern w:val="0"/>
          <w:szCs w:val="21"/>
          <w:highlight w:val="none"/>
        </w:rPr>
        <w:t>法定代表人：</w:t>
      </w:r>
      <w:r>
        <w:rPr>
          <w:bCs/>
          <w:color w:val="auto"/>
          <w:kern w:val="0"/>
          <w:szCs w:val="21"/>
          <w:highlight w:val="none"/>
        </w:rPr>
        <w:t xml:space="preserve">                            </w:t>
      </w:r>
      <w:r>
        <w:rPr>
          <w:rFonts w:hint="eastAsia"/>
          <w:bCs/>
          <w:color w:val="auto"/>
          <w:kern w:val="0"/>
          <w:szCs w:val="21"/>
          <w:highlight w:val="none"/>
        </w:rPr>
        <w:t>法定代表人：</w:t>
      </w:r>
    </w:p>
    <w:p>
      <w:pPr>
        <w:adjustRightInd w:val="0"/>
        <w:spacing w:after="120" w:line="480" w:lineRule="exact"/>
        <w:ind w:left="420" w:leftChars="200"/>
        <w:textAlignment w:val="baseline"/>
        <w:rPr>
          <w:bCs/>
          <w:color w:val="auto"/>
          <w:kern w:val="0"/>
          <w:szCs w:val="21"/>
          <w:highlight w:val="none"/>
        </w:rPr>
      </w:pPr>
    </w:p>
    <w:p>
      <w:pPr>
        <w:adjustRightInd w:val="0"/>
        <w:spacing w:after="120" w:line="480" w:lineRule="exact"/>
        <w:ind w:firstLine="315" w:firstLineChars="150"/>
        <w:textAlignment w:val="baseline"/>
        <w:rPr>
          <w:bCs/>
          <w:color w:val="auto"/>
          <w:kern w:val="0"/>
          <w:szCs w:val="21"/>
          <w:highlight w:val="none"/>
        </w:rPr>
      </w:pPr>
      <w:r>
        <w:rPr>
          <w:rFonts w:hint="eastAsia"/>
          <w:bCs/>
          <w:color w:val="auto"/>
          <w:kern w:val="0"/>
          <w:szCs w:val="21"/>
          <w:highlight w:val="none"/>
        </w:rPr>
        <w:t>或委托代理人</w:t>
      </w:r>
      <w:r>
        <w:rPr>
          <w:bCs/>
          <w:color w:val="auto"/>
          <w:kern w:val="0"/>
          <w:szCs w:val="21"/>
          <w:highlight w:val="none"/>
        </w:rPr>
        <w:t xml:space="preserve">:                           </w:t>
      </w:r>
      <w:r>
        <w:rPr>
          <w:rFonts w:hint="eastAsia"/>
          <w:bCs/>
          <w:color w:val="auto"/>
          <w:kern w:val="0"/>
          <w:szCs w:val="21"/>
          <w:highlight w:val="none"/>
        </w:rPr>
        <w:t>或委托代理人</w:t>
      </w:r>
      <w:r>
        <w:rPr>
          <w:bCs/>
          <w:color w:val="auto"/>
          <w:kern w:val="0"/>
          <w:szCs w:val="21"/>
          <w:highlight w:val="none"/>
        </w:rPr>
        <w:t>:</w:t>
      </w:r>
    </w:p>
    <w:p>
      <w:pPr>
        <w:adjustRightInd w:val="0"/>
        <w:spacing w:after="120" w:line="480" w:lineRule="exact"/>
        <w:ind w:left="420" w:leftChars="200"/>
        <w:textAlignment w:val="baseline"/>
        <w:rPr>
          <w:bCs/>
          <w:color w:val="auto"/>
          <w:kern w:val="0"/>
          <w:szCs w:val="21"/>
          <w:highlight w:val="none"/>
        </w:rPr>
      </w:pPr>
      <w:r>
        <w:rPr>
          <w:bCs/>
          <w:color w:val="auto"/>
          <w:kern w:val="0"/>
          <w:szCs w:val="21"/>
          <w:highlight w:val="none"/>
        </w:rPr>
        <w:t xml:space="preserve"> </w:t>
      </w:r>
    </w:p>
    <w:p>
      <w:pPr>
        <w:tabs>
          <w:tab w:val="left" w:pos="5040"/>
        </w:tabs>
        <w:adjustRightInd w:val="0"/>
        <w:spacing w:line="360" w:lineRule="auto"/>
        <w:ind w:firstLine="315" w:firstLineChars="150"/>
        <w:textAlignment w:val="baseline"/>
        <w:rPr>
          <w:color w:val="auto"/>
          <w:kern w:val="0"/>
          <w:szCs w:val="21"/>
          <w:highlight w:val="none"/>
        </w:rPr>
      </w:pPr>
      <w:r>
        <w:rPr>
          <w:color w:val="auto"/>
          <w:kern w:val="0"/>
          <w:szCs w:val="21"/>
          <w:highlight w:val="none"/>
        </w:rPr>
        <w:t>20</w:t>
      </w:r>
      <w:r>
        <w:rPr>
          <w:rFonts w:hint="eastAsia"/>
          <w:color w:val="auto"/>
          <w:kern w:val="0"/>
          <w:szCs w:val="21"/>
          <w:highlight w:val="none"/>
        </w:rPr>
        <w:t>21年  月</w:t>
      </w:r>
      <w:r>
        <w:rPr>
          <w:color w:val="auto"/>
          <w:kern w:val="0"/>
          <w:szCs w:val="21"/>
          <w:highlight w:val="none"/>
        </w:rPr>
        <w:t xml:space="preserve">  </w:t>
      </w:r>
      <w:r>
        <w:rPr>
          <w:rFonts w:hint="eastAsia"/>
          <w:color w:val="auto"/>
          <w:kern w:val="0"/>
          <w:szCs w:val="21"/>
          <w:highlight w:val="none"/>
        </w:rPr>
        <w:t>日</w:t>
      </w:r>
      <w:r>
        <w:rPr>
          <w:color w:val="auto"/>
          <w:kern w:val="0"/>
          <w:szCs w:val="21"/>
          <w:highlight w:val="none"/>
        </w:rPr>
        <w:t xml:space="preserve">                         20</w:t>
      </w:r>
      <w:r>
        <w:rPr>
          <w:rFonts w:hint="eastAsia"/>
          <w:color w:val="auto"/>
          <w:kern w:val="0"/>
          <w:szCs w:val="21"/>
          <w:highlight w:val="none"/>
        </w:rPr>
        <w:t>21年  月</w:t>
      </w:r>
      <w:r>
        <w:rPr>
          <w:color w:val="auto"/>
          <w:kern w:val="0"/>
          <w:szCs w:val="21"/>
          <w:highlight w:val="none"/>
        </w:rPr>
        <w:t xml:space="preserve">  </w:t>
      </w:r>
      <w:r>
        <w:rPr>
          <w:rFonts w:hint="eastAsia"/>
          <w:color w:val="auto"/>
          <w:kern w:val="0"/>
          <w:szCs w:val="21"/>
          <w:highlight w:val="none"/>
        </w:rPr>
        <w:t>日</w:t>
      </w:r>
    </w:p>
    <w:p>
      <w:pPr>
        <w:pStyle w:val="76"/>
        <w:rPr>
          <w:color w:val="auto"/>
          <w:highlight w:val="none"/>
        </w:rPr>
      </w:pPr>
    </w:p>
    <w:p>
      <w:pPr>
        <w:pStyle w:val="76"/>
        <w:rPr>
          <w:color w:val="auto"/>
          <w:highlight w:val="none"/>
        </w:rPr>
      </w:pPr>
    </w:p>
    <w:p>
      <w:pPr>
        <w:rPr>
          <w:color w:val="auto"/>
          <w:highlight w:val="none"/>
        </w:rPr>
      </w:pPr>
    </w:p>
    <w:p>
      <w:pPr>
        <w:pStyle w:val="76"/>
        <w:rPr>
          <w:color w:val="auto"/>
          <w:highlight w:val="none"/>
        </w:rPr>
        <w:sectPr>
          <w:footerReference r:id="rId9" w:type="default"/>
          <w:footerReference r:id="rId10" w:type="even"/>
          <w:pgSz w:w="11907" w:h="16840"/>
          <w:pgMar w:top="1077" w:right="1417" w:bottom="1077" w:left="1560" w:header="720" w:footer="720" w:gutter="0"/>
          <w:cols w:space="720" w:num="1"/>
          <w:titlePg/>
          <w:docGrid w:linePitch="271" w:charSpace="0"/>
        </w:sectPr>
      </w:pPr>
    </w:p>
    <w:p>
      <w:pPr>
        <w:rPr>
          <w:color w:val="auto"/>
          <w:highlight w:val="none"/>
        </w:rPr>
      </w:pPr>
      <w:r>
        <w:rPr>
          <w:rFonts w:hint="eastAsia" w:ascii="宋体" w:hAnsi="宋体" w:cs="宋体"/>
          <w:color w:val="auto"/>
          <w:highlight w:val="none"/>
        </w:rPr>
        <w:t>附件</w:t>
      </w:r>
      <w:r>
        <w:rPr>
          <w:rFonts w:ascii="宋体" w:hAnsi="宋体" w:cs="宋体"/>
          <w:color w:val="auto"/>
          <w:highlight w:val="none"/>
        </w:rPr>
        <w:t>6</w:t>
      </w:r>
      <w:r>
        <w:rPr>
          <w:rFonts w:hint="eastAsia" w:ascii="宋体" w:hAnsi="宋体" w:cs="宋体"/>
          <w:color w:val="auto"/>
          <w:highlight w:val="none"/>
        </w:rPr>
        <w:t>：</w:t>
      </w:r>
    </w:p>
    <w:p>
      <w:pPr>
        <w:pStyle w:val="42"/>
        <w:jc w:val="center"/>
        <w:rPr>
          <w:b/>
          <w:color w:val="auto"/>
          <w:kern w:val="2"/>
          <w:sz w:val="30"/>
          <w:szCs w:val="30"/>
          <w:highlight w:val="none"/>
        </w:rPr>
      </w:pPr>
      <w:r>
        <w:rPr>
          <w:rFonts w:hint="eastAsia"/>
          <w:b/>
          <w:color w:val="auto"/>
          <w:kern w:val="2"/>
          <w:sz w:val="30"/>
          <w:szCs w:val="30"/>
          <w:highlight w:val="none"/>
        </w:rPr>
        <w:t>施工现场承包商AB类问题处罚标准</w:t>
      </w:r>
    </w:p>
    <w:p>
      <w:pPr>
        <w:pStyle w:val="42"/>
        <w:jc w:val="center"/>
        <w:rPr>
          <w:b/>
          <w:color w:val="auto"/>
          <w:kern w:val="2"/>
          <w:sz w:val="30"/>
          <w:szCs w:val="30"/>
          <w:highlight w:val="none"/>
        </w:rPr>
      </w:pPr>
      <w:r>
        <w:rPr>
          <w:rFonts w:ascii="宋体" w:hAnsi="宋体" w:cs="方正小标宋简体"/>
          <w:b/>
          <w:color w:val="auto"/>
          <w:sz w:val="30"/>
          <w:szCs w:val="30"/>
          <w:highlight w:val="none"/>
        </w:rPr>
        <w:t>承包商A类问题问责处罚细则</w:t>
      </w:r>
    </w:p>
    <w:tbl>
      <w:tblPr>
        <w:tblStyle w:val="48"/>
        <w:tblW w:w="9084" w:type="dxa"/>
        <w:tblInd w:w="96" w:type="dxa"/>
        <w:tblLayout w:type="autofit"/>
        <w:tblCellMar>
          <w:top w:w="0" w:type="dxa"/>
          <w:left w:w="108" w:type="dxa"/>
          <w:bottom w:w="0" w:type="dxa"/>
          <w:right w:w="108" w:type="dxa"/>
        </w:tblCellMar>
      </w:tblPr>
      <w:tblGrid>
        <w:gridCol w:w="536"/>
        <w:gridCol w:w="185"/>
        <w:gridCol w:w="4253"/>
        <w:gridCol w:w="425"/>
        <w:gridCol w:w="992"/>
        <w:gridCol w:w="2693"/>
      </w:tblGrid>
      <w:tr>
        <w:tblPrEx>
          <w:tblCellMar>
            <w:top w:w="0" w:type="dxa"/>
            <w:left w:w="108" w:type="dxa"/>
            <w:bottom w:w="0" w:type="dxa"/>
            <w:right w:w="108" w:type="dxa"/>
          </w:tblCellMar>
        </w:tblPrEx>
        <w:trPr>
          <w:trHeight w:val="454" w:hRule="atLeast"/>
        </w:trPr>
        <w:tc>
          <w:tcPr>
            <w:tcW w:w="5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序号</w:t>
            </w:r>
          </w:p>
        </w:tc>
        <w:tc>
          <w:tcPr>
            <w:tcW w:w="443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问责条款</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现场直接</w:t>
            </w:r>
            <w:r>
              <w:rPr>
                <w:rFonts w:hint="eastAsia" w:ascii="宋体" w:hAnsi="宋体" w:cs="宋体"/>
                <w:b/>
                <w:bCs/>
                <w:color w:val="auto"/>
                <w:kern w:val="0"/>
                <w:szCs w:val="21"/>
                <w:highlight w:val="none"/>
              </w:rPr>
              <w:br w:type="textWrapping"/>
            </w:r>
            <w:r>
              <w:rPr>
                <w:rFonts w:hint="eastAsia" w:ascii="宋体" w:hAnsi="宋体" w:cs="宋体"/>
                <w:b/>
                <w:bCs/>
                <w:color w:val="auto"/>
                <w:kern w:val="0"/>
                <w:szCs w:val="21"/>
                <w:highlight w:val="none"/>
              </w:rPr>
              <w:t>责任人</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施工单位</w:t>
            </w:r>
          </w:p>
        </w:tc>
      </w:tr>
      <w:tr>
        <w:tblPrEx>
          <w:tblCellMar>
            <w:top w:w="0" w:type="dxa"/>
            <w:left w:w="108" w:type="dxa"/>
            <w:bottom w:w="0" w:type="dxa"/>
            <w:right w:w="108" w:type="dxa"/>
          </w:tblCellMar>
        </w:tblPrEx>
        <w:trPr>
          <w:trHeight w:val="454" w:hRule="atLeast"/>
        </w:trPr>
        <w:tc>
          <w:tcPr>
            <w:tcW w:w="5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auto"/>
                <w:szCs w:val="21"/>
                <w:highlight w:val="none"/>
              </w:rPr>
            </w:pPr>
          </w:p>
        </w:tc>
        <w:tc>
          <w:tcPr>
            <w:tcW w:w="443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auto"/>
                <w:szCs w:val="21"/>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行政处分</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处罚措施</w:t>
            </w:r>
          </w:p>
        </w:tc>
      </w:tr>
      <w:tr>
        <w:tblPrEx>
          <w:tblCellMar>
            <w:top w:w="0" w:type="dxa"/>
            <w:left w:w="108" w:type="dxa"/>
            <w:bottom w:w="0" w:type="dxa"/>
            <w:right w:w="108" w:type="dxa"/>
          </w:tblCellMar>
        </w:tblPrEx>
        <w:trPr>
          <w:trHeight w:val="454"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1</w:t>
            </w:r>
          </w:p>
        </w:tc>
        <w:tc>
          <w:tcPr>
            <w:tcW w:w="4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在爆炸危险区吸烟，违规使用明火。</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开除</w:t>
            </w:r>
          </w:p>
        </w:tc>
        <w:tc>
          <w:tcPr>
            <w:tcW w:w="26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对施工单位停工整顿，清退当事人，我司与施工单位暂停交易6个月，罚款2万元，并对施工单位记分扣100分。</w:t>
            </w:r>
          </w:p>
        </w:tc>
      </w:tr>
      <w:tr>
        <w:tblPrEx>
          <w:tblCellMar>
            <w:top w:w="0" w:type="dxa"/>
            <w:left w:w="108" w:type="dxa"/>
            <w:bottom w:w="0" w:type="dxa"/>
            <w:right w:w="108" w:type="dxa"/>
          </w:tblCellMar>
        </w:tblPrEx>
        <w:trPr>
          <w:trHeight w:val="454"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2</w:t>
            </w:r>
          </w:p>
        </w:tc>
        <w:tc>
          <w:tcPr>
            <w:tcW w:w="4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动火作业未检测油气浓度。</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开除</w:t>
            </w: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b/>
                <w:bCs/>
                <w:color w:val="auto"/>
                <w:sz w:val="24"/>
                <w:highlight w:val="none"/>
              </w:rPr>
            </w:pPr>
          </w:p>
        </w:tc>
      </w:tr>
      <w:tr>
        <w:tblPrEx>
          <w:tblCellMar>
            <w:top w:w="0" w:type="dxa"/>
            <w:left w:w="108" w:type="dxa"/>
            <w:bottom w:w="0" w:type="dxa"/>
            <w:right w:w="108" w:type="dxa"/>
          </w:tblCellMar>
        </w:tblPrEx>
        <w:trPr>
          <w:trHeight w:val="454"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3</w:t>
            </w:r>
          </w:p>
        </w:tc>
        <w:tc>
          <w:tcPr>
            <w:tcW w:w="4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高处作业无安全防护措施，在人员未到地面的情况下，推动移动式脚手架。</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开除</w:t>
            </w: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b/>
                <w:bCs/>
                <w:color w:val="auto"/>
                <w:sz w:val="24"/>
                <w:highlight w:val="none"/>
              </w:rPr>
            </w:pPr>
          </w:p>
        </w:tc>
      </w:tr>
      <w:tr>
        <w:tblPrEx>
          <w:tblCellMar>
            <w:top w:w="0" w:type="dxa"/>
            <w:left w:w="108" w:type="dxa"/>
            <w:bottom w:w="0" w:type="dxa"/>
            <w:right w:w="108" w:type="dxa"/>
          </w:tblCellMar>
        </w:tblPrEx>
        <w:trPr>
          <w:trHeight w:val="454"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4</w:t>
            </w:r>
          </w:p>
        </w:tc>
        <w:tc>
          <w:tcPr>
            <w:tcW w:w="4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临时用电总配或分配漏保失效、PE线未接，带电维修。</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开除</w:t>
            </w: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b/>
                <w:bCs/>
                <w:color w:val="auto"/>
                <w:sz w:val="24"/>
                <w:highlight w:val="none"/>
              </w:rPr>
            </w:pPr>
          </w:p>
        </w:tc>
      </w:tr>
      <w:tr>
        <w:tblPrEx>
          <w:tblCellMar>
            <w:top w:w="0" w:type="dxa"/>
            <w:left w:w="108" w:type="dxa"/>
            <w:bottom w:w="0" w:type="dxa"/>
            <w:right w:w="108" w:type="dxa"/>
          </w:tblCellMar>
        </w:tblPrEx>
        <w:trPr>
          <w:trHeight w:val="454"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5</w:t>
            </w:r>
          </w:p>
        </w:tc>
        <w:tc>
          <w:tcPr>
            <w:tcW w:w="4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进入受限空间内未检测氧含量，未使用呼吸器、安全绳。</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开除</w:t>
            </w: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b/>
                <w:bCs/>
                <w:color w:val="auto"/>
                <w:sz w:val="24"/>
                <w:highlight w:val="none"/>
              </w:rPr>
            </w:pPr>
          </w:p>
        </w:tc>
      </w:tr>
      <w:tr>
        <w:tblPrEx>
          <w:tblCellMar>
            <w:top w:w="0" w:type="dxa"/>
            <w:left w:w="108" w:type="dxa"/>
            <w:bottom w:w="0" w:type="dxa"/>
            <w:right w:w="108" w:type="dxa"/>
          </w:tblCellMar>
        </w:tblPrEx>
        <w:trPr>
          <w:trHeight w:val="454"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6</w:t>
            </w:r>
          </w:p>
        </w:tc>
        <w:tc>
          <w:tcPr>
            <w:tcW w:w="4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起重作业中，人员随吊物起吊或吊物下方有人。</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开除</w:t>
            </w: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b/>
                <w:bCs/>
                <w:color w:val="auto"/>
                <w:sz w:val="24"/>
                <w:highlight w:val="none"/>
              </w:rPr>
            </w:pPr>
          </w:p>
        </w:tc>
      </w:tr>
      <w:tr>
        <w:tblPrEx>
          <w:tblCellMar>
            <w:top w:w="0" w:type="dxa"/>
            <w:left w:w="108" w:type="dxa"/>
            <w:bottom w:w="0" w:type="dxa"/>
            <w:right w:w="108" w:type="dxa"/>
          </w:tblCellMar>
        </w:tblPrEx>
        <w:trPr>
          <w:trHeight w:val="454"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7</w:t>
            </w:r>
          </w:p>
        </w:tc>
        <w:tc>
          <w:tcPr>
            <w:tcW w:w="4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油气泄漏区域应急救援人员未使用防爆设备和工具。</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开除</w:t>
            </w: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b/>
                <w:bCs/>
                <w:color w:val="auto"/>
                <w:sz w:val="24"/>
                <w:highlight w:val="none"/>
              </w:rPr>
            </w:pPr>
          </w:p>
        </w:tc>
      </w:tr>
      <w:tr>
        <w:tblPrEx>
          <w:tblCellMar>
            <w:top w:w="0" w:type="dxa"/>
            <w:left w:w="108" w:type="dxa"/>
            <w:bottom w:w="0" w:type="dxa"/>
            <w:right w:w="108" w:type="dxa"/>
          </w:tblCellMar>
        </w:tblPrEx>
        <w:trPr>
          <w:trHeight w:val="454"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8</w:t>
            </w:r>
          </w:p>
        </w:tc>
        <w:tc>
          <w:tcPr>
            <w:tcW w:w="4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无作业票进行特殊作业。</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开除</w:t>
            </w: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b/>
                <w:bCs/>
                <w:color w:val="auto"/>
                <w:sz w:val="24"/>
                <w:highlight w:val="none"/>
              </w:rPr>
            </w:pPr>
          </w:p>
        </w:tc>
      </w:tr>
      <w:tr>
        <w:tblPrEx>
          <w:tblCellMar>
            <w:top w:w="0" w:type="dxa"/>
            <w:left w:w="108" w:type="dxa"/>
            <w:bottom w:w="0" w:type="dxa"/>
            <w:right w:w="108" w:type="dxa"/>
          </w:tblCellMar>
        </w:tblPrEx>
        <w:trPr>
          <w:trHeight w:val="454"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9</w:t>
            </w:r>
          </w:p>
        </w:tc>
        <w:tc>
          <w:tcPr>
            <w:tcW w:w="4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无视或人为关闭安全报警、安全联锁装置。</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开除</w:t>
            </w: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b/>
                <w:bCs/>
                <w:color w:val="auto"/>
                <w:sz w:val="24"/>
                <w:highlight w:val="none"/>
              </w:rPr>
            </w:pPr>
          </w:p>
        </w:tc>
      </w:tr>
      <w:tr>
        <w:tblPrEx>
          <w:tblCellMar>
            <w:top w:w="0" w:type="dxa"/>
            <w:left w:w="108" w:type="dxa"/>
            <w:bottom w:w="0" w:type="dxa"/>
            <w:right w:w="108" w:type="dxa"/>
          </w:tblCellMar>
        </w:tblPrEx>
        <w:trPr>
          <w:trHeight w:val="454"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10</w:t>
            </w:r>
          </w:p>
        </w:tc>
        <w:tc>
          <w:tcPr>
            <w:tcW w:w="4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违章指挥从业人员或者强令从业人员违章、冒险作业的；违规浮盘落底作业。</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开除</w:t>
            </w: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b/>
                <w:bCs/>
                <w:color w:val="auto"/>
                <w:sz w:val="24"/>
                <w:highlight w:val="none"/>
              </w:rPr>
            </w:pPr>
          </w:p>
        </w:tc>
      </w:tr>
      <w:tr>
        <w:tblPrEx>
          <w:tblCellMar>
            <w:top w:w="0" w:type="dxa"/>
            <w:left w:w="108" w:type="dxa"/>
            <w:bottom w:w="0" w:type="dxa"/>
            <w:right w:w="108" w:type="dxa"/>
          </w:tblCellMar>
        </w:tblPrEx>
        <w:trPr>
          <w:trHeight w:val="624" w:hRule="atLeast"/>
        </w:trPr>
        <w:tc>
          <w:tcPr>
            <w:tcW w:w="9084" w:type="dxa"/>
            <w:gridSpan w:val="6"/>
            <w:tcBorders>
              <w:top w:val="single" w:color="000000" w:sz="4" w:space="0"/>
              <w:bottom w:val="single" w:color="000000" w:sz="4" w:space="0"/>
            </w:tcBorders>
            <w:shd w:val="clear" w:color="auto" w:fill="FFFFFF"/>
            <w:vAlign w:val="center"/>
          </w:tcPr>
          <w:p>
            <w:pPr>
              <w:pStyle w:val="42"/>
              <w:jc w:val="center"/>
              <w:rPr>
                <w:b/>
                <w:color w:val="auto"/>
                <w:kern w:val="2"/>
                <w:sz w:val="30"/>
                <w:szCs w:val="30"/>
                <w:highlight w:val="none"/>
              </w:rPr>
            </w:pPr>
            <w:r>
              <w:rPr>
                <w:rFonts w:ascii="宋体" w:hAnsi="宋体" w:cs="方正小标宋简体"/>
                <w:b/>
                <w:color w:val="auto"/>
                <w:sz w:val="30"/>
                <w:szCs w:val="30"/>
                <w:highlight w:val="none"/>
              </w:rPr>
              <w:t>承包商</w:t>
            </w:r>
            <w:r>
              <w:rPr>
                <w:rFonts w:hint="eastAsia" w:ascii="宋体" w:hAnsi="宋体" w:cs="方正小标宋简体"/>
                <w:b/>
                <w:color w:val="auto"/>
                <w:sz w:val="30"/>
                <w:szCs w:val="30"/>
                <w:highlight w:val="none"/>
              </w:rPr>
              <w:t>B</w:t>
            </w:r>
            <w:r>
              <w:rPr>
                <w:rFonts w:ascii="宋体" w:hAnsi="宋体" w:cs="方正小标宋简体"/>
                <w:b/>
                <w:color w:val="auto"/>
                <w:sz w:val="30"/>
                <w:szCs w:val="30"/>
                <w:highlight w:val="none"/>
              </w:rPr>
              <w:t>类问题问责处罚细则</w:t>
            </w:r>
          </w:p>
          <w:p>
            <w:pPr>
              <w:widowControl/>
              <w:jc w:val="center"/>
              <w:textAlignment w:val="center"/>
              <w:rPr>
                <w:rFonts w:ascii="宋体" w:hAnsi="宋体" w:cs="宋体"/>
                <w:b/>
                <w:bCs/>
                <w:color w:val="auto"/>
                <w:kern w:val="0"/>
                <w:szCs w:val="21"/>
                <w:highlight w:val="none"/>
              </w:rPr>
            </w:pPr>
          </w:p>
        </w:tc>
      </w:tr>
      <w:tr>
        <w:tblPrEx>
          <w:tblCellMar>
            <w:top w:w="0" w:type="dxa"/>
            <w:left w:w="108" w:type="dxa"/>
            <w:bottom w:w="0" w:type="dxa"/>
            <w:right w:w="108" w:type="dxa"/>
          </w:tblCellMar>
        </w:tblPrEx>
        <w:trPr>
          <w:trHeight w:val="312" w:hRule="atLeast"/>
        </w:trPr>
        <w:tc>
          <w:tcPr>
            <w:tcW w:w="72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46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问责条款</w:t>
            </w:r>
          </w:p>
        </w:tc>
        <w:tc>
          <w:tcPr>
            <w:tcW w:w="36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施工单位</w:t>
            </w:r>
          </w:p>
        </w:tc>
      </w:tr>
      <w:tr>
        <w:tblPrEx>
          <w:tblCellMar>
            <w:top w:w="0" w:type="dxa"/>
            <w:left w:w="108" w:type="dxa"/>
            <w:bottom w:w="0" w:type="dxa"/>
            <w:right w:w="108" w:type="dxa"/>
          </w:tblCellMar>
        </w:tblPrEx>
        <w:trPr>
          <w:trHeight w:val="312" w:hRule="atLeast"/>
        </w:trPr>
        <w:tc>
          <w:tcPr>
            <w:tcW w:w="72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Cs w:val="21"/>
                <w:highlight w:val="none"/>
              </w:rPr>
            </w:pPr>
          </w:p>
        </w:tc>
        <w:tc>
          <w:tcPr>
            <w:tcW w:w="46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Cs w:val="21"/>
                <w:highlight w:val="none"/>
              </w:rPr>
            </w:pPr>
          </w:p>
        </w:tc>
        <w:tc>
          <w:tcPr>
            <w:tcW w:w="36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Cs w:val="21"/>
                <w:highlight w:val="none"/>
              </w:rPr>
            </w:pPr>
          </w:p>
        </w:tc>
      </w:tr>
      <w:tr>
        <w:tblPrEx>
          <w:tblCellMar>
            <w:top w:w="0" w:type="dxa"/>
            <w:left w:w="108" w:type="dxa"/>
            <w:bottom w:w="0" w:type="dxa"/>
            <w:right w:w="108" w:type="dxa"/>
          </w:tblCellMar>
        </w:tblPrEx>
        <w:trPr>
          <w:trHeight w:val="20" w:hRule="atLeast"/>
        </w:trPr>
        <w:tc>
          <w:tcPr>
            <w:tcW w:w="72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Cs w:val="21"/>
                <w:highlight w:val="none"/>
              </w:rPr>
            </w:pPr>
          </w:p>
        </w:tc>
        <w:tc>
          <w:tcPr>
            <w:tcW w:w="46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Cs w:val="21"/>
                <w:highlight w:val="none"/>
              </w:rPr>
            </w:pPr>
          </w:p>
        </w:tc>
        <w:tc>
          <w:tcPr>
            <w:tcW w:w="36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处罚措施</w:t>
            </w:r>
          </w:p>
        </w:tc>
      </w:tr>
      <w:tr>
        <w:tblPrEx>
          <w:tblCellMar>
            <w:top w:w="0" w:type="dxa"/>
            <w:left w:w="108" w:type="dxa"/>
            <w:bottom w:w="0" w:type="dxa"/>
            <w:right w:w="108" w:type="dxa"/>
          </w:tblCellMar>
        </w:tblPrEx>
        <w:trPr>
          <w:trHeight w:val="2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1</w:t>
            </w:r>
          </w:p>
        </w:tc>
        <w:tc>
          <w:tcPr>
            <w:tcW w:w="4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项目转包或违法分包，未签订施工合同和安全协议。</w:t>
            </w:r>
          </w:p>
        </w:tc>
        <w:tc>
          <w:tcPr>
            <w:tcW w:w="36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罚款0.5万元，停工整顿；承包商记分扣3分。</w:t>
            </w:r>
          </w:p>
        </w:tc>
      </w:tr>
      <w:tr>
        <w:tblPrEx>
          <w:tblCellMar>
            <w:top w:w="0" w:type="dxa"/>
            <w:left w:w="108" w:type="dxa"/>
            <w:bottom w:w="0" w:type="dxa"/>
            <w:right w:w="108" w:type="dxa"/>
          </w:tblCellMar>
        </w:tblPrEx>
        <w:trPr>
          <w:trHeight w:val="2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2</w:t>
            </w:r>
          </w:p>
        </w:tc>
        <w:tc>
          <w:tcPr>
            <w:tcW w:w="4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项目施工未办理开工手续、未向省公司报备。施工方案未审批，安全措施未共同编制。</w:t>
            </w:r>
          </w:p>
        </w:tc>
        <w:tc>
          <w:tcPr>
            <w:tcW w:w="36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罚款0.5万元，停工整顿；承包商记分扣3分。</w:t>
            </w:r>
          </w:p>
        </w:tc>
      </w:tr>
      <w:tr>
        <w:tblPrEx>
          <w:tblCellMar>
            <w:top w:w="0" w:type="dxa"/>
            <w:left w:w="108" w:type="dxa"/>
            <w:bottom w:w="0" w:type="dxa"/>
            <w:right w:w="108" w:type="dxa"/>
          </w:tblCellMar>
        </w:tblPrEx>
        <w:trPr>
          <w:trHeight w:val="2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3</w:t>
            </w:r>
          </w:p>
        </w:tc>
        <w:tc>
          <w:tcPr>
            <w:tcW w:w="4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承包商未成立项目部，主要管理人员及特殊作业人员与实不符，人证不符。</w:t>
            </w:r>
          </w:p>
        </w:tc>
        <w:tc>
          <w:tcPr>
            <w:tcW w:w="36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罚款0.5万元，停工整顿；承包商记分扣3分。</w:t>
            </w:r>
          </w:p>
        </w:tc>
      </w:tr>
      <w:tr>
        <w:tblPrEx>
          <w:tblCellMar>
            <w:top w:w="0" w:type="dxa"/>
            <w:left w:w="108" w:type="dxa"/>
            <w:bottom w:w="0" w:type="dxa"/>
            <w:right w:w="108" w:type="dxa"/>
          </w:tblCellMar>
        </w:tblPrEx>
        <w:trPr>
          <w:trHeight w:val="2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4</w:t>
            </w:r>
          </w:p>
        </w:tc>
        <w:tc>
          <w:tcPr>
            <w:tcW w:w="4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承包商未落实全员实名制，进场人员未身份查验，无二维码或出入证。</w:t>
            </w:r>
          </w:p>
        </w:tc>
        <w:tc>
          <w:tcPr>
            <w:tcW w:w="36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罚款0.5万元，停工整顿；承包商记分扣3分。</w:t>
            </w:r>
          </w:p>
        </w:tc>
      </w:tr>
      <w:tr>
        <w:tblPrEx>
          <w:tblCellMar>
            <w:top w:w="0" w:type="dxa"/>
            <w:left w:w="108" w:type="dxa"/>
            <w:bottom w:w="0" w:type="dxa"/>
            <w:right w:w="108" w:type="dxa"/>
          </w:tblCellMar>
        </w:tblPrEx>
        <w:trPr>
          <w:trHeight w:val="2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5</w:t>
            </w:r>
          </w:p>
        </w:tc>
        <w:tc>
          <w:tcPr>
            <w:tcW w:w="4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施工人员未经施工单位培训、考试合格擅自进入施工现场。</w:t>
            </w:r>
          </w:p>
        </w:tc>
        <w:tc>
          <w:tcPr>
            <w:tcW w:w="36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罚款0.5万元，停工整顿；承包商记分扣3分。</w:t>
            </w:r>
          </w:p>
        </w:tc>
      </w:tr>
      <w:tr>
        <w:tblPrEx>
          <w:tblCellMar>
            <w:top w:w="0" w:type="dxa"/>
            <w:left w:w="108" w:type="dxa"/>
            <w:bottom w:w="0" w:type="dxa"/>
            <w:right w:w="108" w:type="dxa"/>
          </w:tblCellMar>
        </w:tblPrEx>
        <w:trPr>
          <w:trHeight w:val="2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6</w:t>
            </w:r>
          </w:p>
        </w:tc>
        <w:tc>
          <w:tcPr>
            <w:tcW w:w="4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未进行现场安全交底。</w:t>
            </w:r>
          </w:p>
        </w:tc>
        <w:tc>
          <w:tcPr>
            <w:tcW w:w="36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罚款0.5万元，停工整顿；承包商记分扣3分。</w:t>
            </w:r>
          </w:p>
        </w:tc>
      </w:tr>
      <w:tr>
        <w:tblPrEx>
          <w:tblCellMar>
            <w:top w:w="0" w:type="dxa"/>
            <w:left w:w="108" w:type="dxa"/>
            <w:bottom w:w="0" w:type="dxa"/>
            <w:right w:w="108" w:type="dxa"/>
          </w:tblCellMar>
        </w:tblPrEx>
        <w:trPr>
          <w:trHeight w:val="2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7</w:t>
            </w:r>
          </w:p>
        </w:tc>
        <w:tc>
          <w:tcPr>
            <w:tcW w:w="4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特殊作业未落实安全双监护未落实。</w:t>
            </w:r>
          </w:p>
        </w:tc>
        <w:tc>
          <w:tcPr>
            <w:tcW w:w="36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罚款0.5万元，停工整顿；承包商记分扣3分。</w:t>
            </w:r>
          </w:p>
        </w:tc>
      </w:tr>
      <w:tr>
        <w:tblPrEx>
          <w:tblCellMar>
            <w:top w:w="0" w:type="dxa"/>
            <w:left w:w="108" w:type="dxa"/>
            <w:bottom w:w="0" w:type="dxa"/>
            <w:right w:w="108" w:type="dxa"/>
          </w:tblCellMar>
        </w:tblPrEx>
        <w:trPr>
          <w:trHeight w:val="2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8</w:t>
            </w:r>
          </w:p>
        </w:tc>
        <w:tc>
          <w:tcPr>
            <w:tcW w:w="4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四种高风险作业，业主单位未明确现场带班领导，未落实专业人员现场监护。</w:t>
            </w:r>
          </w:p>
        </w:tc>
        <w:tc>
          <w:tcPr>
            <w:tcW w:w="36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罚款0.5万元，停工整顿；承包商记分扣3分。</w:t>
            </w:r>
          </w:p>
        </w:tc>
      </w:tr>
      <w:tr>
        <w:tblPrEx>
          <w:tblCellMar>
            <w:top w:w="0" w:type="dxa"/>
            <w:left w:w="108" w:type="dxa"/>
            <w:bottom w:w="0" w:type="dxa"/>
            <w:right w:w="108" w:type="dxa"/>
          </w:tblCellMar>
        </w:tblPrEx>
        <w:trPr>
          <w:trHeight w:val="2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9</w:t>
            </w:r>
          </w:p>
        </w:tc>
        <w:tc>
          <w:tcPr>
            <w:tcW w:w="4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双边作业无业主人员在场监护，无业主人员带领下承包商擅自进入生产区。</w:t>
            </w:r>
          </w:p>
        </w:tc>
        <w:tc>
          <w:tcPr>
            <w:tcW w:w="36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罚款0.5万元，停工整顿；承包商记分扣3分。</w:t>
            </w:r>
          </w:p>
        </w:tc>
      </w:tr>
      <w:tr>
        <w:tblPrEx>
          <w:tblCellMar>
            <w:top w:w="0" w:type="dxa"/>
            <w:left w:w="108" w:type="dxa"/>
            <w:bottom w:w="0" w:type="dxa"/>
            <w:right w:w="108" w:type="dxa"/>
          </w:tblCellMar>
        </w:tblPrEx>
        <w:trPr>
          <w:trHeight w:val="2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10</w:t>
            </w:r>
          </w:p>
        </w:tc>
        <w:tc>
          <w:tcPr>
            <w:tcW w:w="4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作业票签票人员未经建设单位安全部门培训取证。特殊作业中断或环境变化时，未重新进行安全条件确认。</w:t>
            </w:r>
          </w:p>
        </w:tc>
        <w:tc>
          <w:tcPr>
            <w:tcW w:w="36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罚款0.5万元，停工整顿；承包商记分扣3分。</w:t>
            </w:r>
          </w:p>
        </w:tc>
      </w:tr>
      <w:tr>
        <w:tblPrEx>
          <w:tblCellMar>
            <w:top w:w="0" w:type="dxa"/>
            <w:left w:w="108" w:type="dxa"/>
            <w:bottom w:w="0" w:type="dxa"/>
            <w:right w:w="108" w:type="dxa"/>
          </w:tblCellMar>
        </w:tblPrEx>
        <w:trPr>
          <w:trHeight w:val="2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11</w:t>
            </w:r>
          </w:p>
        </w:tc>
        <w:tc>
          <w:tcPr>
            <w:tcW w:w="4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无法有效调取作业视频（90天内），特殊作业视频未有效留存（1年内）。</w:t>
            </w:r>
          </w:p>
        </w:tc>
        <w:tc>
          <w:tcPr>
            <w:tcW w:w="36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罚款0.5万元，停工整顿；承包商记分扣3分。</w:t>
            </w:r>
          </w:p>
        </w:tc>
      </w:tr>
      <w:tr>
        <w:tblPrEx>
          <w:tblCellMar>
            <w:top w:w="0" w:type="dxa"/>
            <w:left w:w="108" w:type="dxa"/>
            <w:bottom w:w="0" w:type="dxa"/>
            <w:right w:w="108" w:type="dxa"/>
          </w:tblCellMar>
        </w:tblPrEx>
        <w:trPr>
          <w:trHeight w:val="2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12</w:t>
            </w:r>
          </w:p>
        </w:tc>
        <w:tc>
          <w:tcPr>
            <w:tcW w:w="4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受限空间作业人员无体检报告，个体防护、工机具、应急救援措施不符要求，未落实通风和连续监测措施，未落实双监护和视频监控。</w:t>
            </w:r>
          </w:p>
        </w:tc>
        <w:tc>
          <w:tcPr>
            <w:tcW w:w="36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罚款0.5万元，停工整顿；承包商记分扣3分。</w:t>
            </w:r>
          </w:p>
        </w:tc>
      </w:tr>
      <w:tr>
        <w:tblPrEx>
          <w:tblCellMar>
            <w:top w:w="0" w:type="dxa"/>
            <w:left w:w="108" w:type="dxa"/>
            <w:bottom w:w="0" w:type="dxa"/>
            <w:right w:w="108" w:type="dxa"/>
          </w:tblCellMar>
        </w:tblPrEx>
        <w:trPr>
          <w:trHeight w:val="2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13</w:t>
            </w:r>
          </w:p>
        </w:tc>
        <w:tc>
          <w:tcPr>
            <w:tcW w:w="4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深度超2米的人工挖土或基坑内作业无支护或放坡等防塌方措施，未设置应急逃生通道。</w:t>
            </w:r>
          </w:p>
        </w:tc>
        <w:tc>
          <w:tcPr>
            <w:tcW w:w="36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罚款0.5万元，停工整顿；承包商记分扣3分。</w:t>
            </w:r>
          </w:p>
        </w:tc>
      </w:tr>
      <w:tr>
        <w:tblPrEx>
          <w:tblCellMar>
            <w:top w:w="0" w:type="dxa"/>
            <w:left w:w="108" w:type="dxa"/>
            <w:bottom w:w="0" w:type="dxa"/>
            <w:right w:w="108" w:type="dxa"/>
          </w:tblCellMar>
        </w:tblPrEx>
        <w:trPr>
          <w:trHeight w:val="2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14</w:t>
            </w:r>
          </w:p>
        </w:tc>
        <w:tc>
          <w:tcPr>
            <w:tcW w:w="4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起重作业违反“十不吊”要求。</w:t>
            </w:r>
          </w:p>
        </w:tc>
        <w:tc>
          <w:tcPr>
            <w:tcW w:w="36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罚款0.5万元，停工整顿；承包商记分扣3分。</w:t>
            </w:r>
          </w:p>
        </w:tc>
      </w:tr>
      <w:tr>
        <w:tblPrEx>
          <w:tblCellMar>
            <w:top w:w="0" w:type="dxa"/>
            <w:left w:w="108" w:type="dxa"/>
            <w:bottom w:w="0" w:type="dxa"/>
            <w:right w:w="108" w:type="dxa"/>
          </w:tblCellMar>
        </w:tblPrEx>
        <w:trPr>
          <w:trHeight w:val="2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15</w:t>
            </w:r>
          </w:p>
        </w:tc>
        <w:tc>
          <w:tcPr>
            <w:tcW w:w="4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临时用电系统使用前未验收挂牌。</w:t>
            </w:r>
          </w:p>
        </w:tc>
        <w:tc>
          <w:tcPr>
            <w:tcW w:w="36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罚款0.5万元，停工整顿；承包商记分扣3分。</w:t>
            </w:r>
          </w:p>
        </w:tc>
      </w:tr>
      <w:tr>
        <w:tblPrEx>
          <w:tblCellMar>
            <w:top w:w="0" w:type="dxa"/>
            <w:left w:w="108" w:type="dxa"/>
            <w:bottom w:w="0" w:type="dxa"/>
            <w:right w:w="108" w:type="dxa"/>
          </w:tblCellMar>
        </w:tblPrEx>
        <w:trPr>
          <w:trHeight w:val="2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16</w:t>
            </w:r>
          </w:p>
        </w:tc>
        <w:tc>
          <w:tcPr>
            <w:tcW w:w="4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脚手架、吊篮等使用前未验收挂牌。</w:t>
            </w:r>
          </w:p>
        </w:tc>
        <w:tc>
          <w:tcPr>
            <w:tcW w:w="36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罚款0.5万元，停工整顿；承包商记分扣3分。</w:t>
            </w:r>
          </w:p>
        </w:tc>
      </w:tr>
      <w:tr>
        <w:tblPrEx>
          <w:tblCellMar>
            <w:top w:w="0" w:type="dxa"/>
            <w:left w:w="108" w:type="dxa"/>
            <w:bottom w:w="0" w:type="dxa"/>
            <w:right w:w="108" w:type="dxa"/>
          </w:tblCellMar>
        </w:tblPrEx>
        <w:trPr>
          <w:trHeight w:val="2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17</w:t>
            </w:r>
          </w:p>
        </w:tc>
        <w:tc>
          <w:tcPr>
            <w:tcW w:w="4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试压作业、登高车作业、移动式脚手架作业、大型机械回转半径等作业范围未设隔离区，人员随意穿行。</w:t>
            </w:r>
          </w:p>
        </w:tc>
        <w:tc>
          <w:tcPr>
            <w:tcW w:w="36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罚款0.5万元，停工整顿；承包商记分扣3分。</w:t>
            </w:r>
          </w:p>
        </w:tc>
      </w:tr>
      <w:tr>
        <w:tblPrEx>
          <w:tblCellMar>
            <w:top w:w="0" w:type="dxa"/>
            <w:left w:w="108" w:type="dxa"/>
            <w:bottom w:w="0" w:type="dxa"/>
            <w:right w:w="108" w:type="dxa"/>
          </w:tblCellMar>
        </w:tblPrEx>
        <w:trPr>
          <w:trHeight w:val="2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18</w:t>
            </w:r>
          </w:p>
        </w:tc>
        <w:tc>
          <w:tcPr>
            <w:tcW w:w="4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轻质型材屋面上的作业未挂生命绳和临时走道。轻质型材屋面铺设作业未挂生命绳和安全网。</w:t>
            </w:r>
          </w:p>
        </w:tc>
        <w:tc>
          <w:tcPr>
            <w:tcW w:w="36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罚款0.5万元，停工整顿；承包商记分扣3分。</w:t>
            </w:r>
          </w:p>
        </w:tc>
      </w:tr>
      <w:tr>
        <w:tblPrEx>
          <w:tblCellMar>
            <w:top w:w="0" w:type="dxa"/>
            <w:left w:w="108" w:type="dxa"/>
            <w:bottom w:w="0" w:type="dxa"/>
            <w:right w:w="108" w:type="dxa"/>
          </w:tblCellMar>
        </w:tblPrEx>
        <w:trPr>
          <w:trHeight w:val="2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19</w:t>
            </w:r>
          </w:p>
        </w:tc>
        <w:tc>
          <w:tcPr>
            <w:tcW w:w="4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盲板抽堵作业点30米范围内有用火、采样、放空、排放等其他作业。</w:t>
            </w:r>
          </w:p>
        </w:tc>
        <w:tc>
          <w:tcPr>
            <w:tcW w:w="36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罚款0.5万元，停工整顿；承包商记分扣3分。</w:t>
            </w:r>
          </w:p>
        </w:tc>
      </w:tr>
      <w:tr>
        <w:tblPrEx>
          <w:tblCellMar>
            <w:top w:w="0" w:type="dxa"/>
            <w:left w:w="108" w:type="dxa"/>
            <w:bottom w:w="0" w:type="dxa"/>
            <w:right w:w="108" w:type="dxa"/>
          </w:tblCellMar>
        </w:tblPrEx>
        <w:trPr>
          <w:trHeight w:val="2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20</w:t>
            </w:r>
          </w:p>
        </w:tc>
        <w:tc>
          <w:tcPr>
            <w:tcW w:w="4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建筑垃圾处理方案未报当地主管部门备案，未按规定进行利用或者处置。</w:t>
            </w:r>
          </w:p>
        </w:tc>
        <w:tc>
          <w:tcPr>
            <w:tcW w:w="36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罚款0.5万元，停工整顿；承包商记分扣3分。</w:t>
            </w:r>
          </w:p>
        </w:tc>
      </w:tr>
    </w:tbl>
    <w:p>
      <w:pPr>
        <w:spacing w:line="540" w:lineRule="exact"/>
        <w:rPr>
          <w:rFonts w:ascii="宋体" w:hAnsi="宋体" w:cs="宋体"/>
          <w:b/>
          <w:bCs/>
          <w:color w:val="auto"/>
          <w:sz w:val="24"/>
          <w:highlight w:val="none"/>
        </w:rPr>
      </w:pPr>
    </w:p>
    <w:p>
      <w:pPr>
        <w:spacing w:line="540" w:lineRule="exact"/>
        <w:ind w:firstLine="482" w:firstLineChars="200"/>
        <w:jc w:val="center"/>
        <w:rPr>
          <w:rFonts w:ascii="宋体" w:hAnsi="宋体" w:cs="宋体"/>
          <w:b/>
          <w:bCs/>
          <w:color w:val="auto"/>
          <w:sz w:val="24"/>
          <w:highlight w:val="none"/>
        </w:rPr>
      </w:pPr>
    </w:p>
    <w:bookmarkEnd w:id="15"/>
    <w:bookmarkEnd w:id="16"/>
    <w:bookmarkEnd w:id="66"/>
    <w:p>
      <w:pPr>
        <w:pStyle w:val="2"/>
        <w:spacing w:before="156" w:after="156" w:line="400" w:lineRule="exact"/>
        <w:ind w:right="17" w:rightChars="8"/>
        <w:rPr>
          <w:bCs/>
          <w:color w:val="auto"/>
          <w:szCs w:val="21"/>
          <w:highlight w:val="none"/>
        </w:rPr>
      </w:pPr>
      <w:bookmarkStart w:id="67" w:name="_Toc456094719"/>
      <w:bookmarkStart w:id="68" w:name="_Toc456865829"/>
      <w:bookmarkStart w:id="69" w:name="_Toc456864894"/>
      <w:bookmarkStart w:id="70" w:name="_Toc287708718"/>
      <w:r>
        <w:rPr>
          <w:rFonts w:hint="eastAsia"/>
          <w:bCs/>
          <w:color w:val="auto"/>
          <w:szCs w:val="36"/>
          <w:highlight w:val="none"/>
        </w:rPr>
        <w:t>第三章  技术标准和要求</w:t>
      </w:r>
      <w:bookmarkEnd w:id="67"/>
      <w:bookmarkEnd w:id="68"/>
      <w:bookmarkEnd w:id="69"/>
      <w:bookmarkStart w:id="71" w:name="_Toc184635135"/>
      <w:bookmarkStart w:id="72" w:name="_Toc456864896"/>
      <w:bookmarkStart w:id="73" w:name="_Toc369596905"/>
      <w:bookmarkStart w:id="74" w:name="_Toc329775460"/>
      <w:bookmarkStart w:id="75" w:name="_Toc456865831"/>
    </w:p>
    <w:bookmarkEnd w:id="70"/>
    <w:bookmarkEnd w:id="71"/>
    <w:bookmarkEnd w:id="72"/>
    <w:bookmarkEnd w:id="73"/>
    <w:bookmarkEnd w:id="74"/>
    <w:bookmarkEnd w:id="75"/>
    <w:p>
      <w:pPr>
        <w:pStyle w:val="3"/>
        <w:snapToGrid w:val="0"/>
        <w:spacing w:before="240" w:after="240" w:line="360" w:lineRule="auto"/>
        <w:rPr>
          <w:rFonts w:cs="仿宋_GB2312"/>
          <w:b w:val="0"/>
          <w:bCs/>
          <w:color w:val="auto"/>
          <w:highlight w:val="none"/>
        </w:rPr>
      </w:pPr>
      <w:r>
        <w:rPr>
          <w:rFonts w:hint="eastAsia" w:cs="仿宋_GB2312"/>
          <w:bCs/>
          <w:color w:val="auto"/>
          <w:sz w:val="24"/>
          <w:highlight w:val="none"/>
        </w:rPr>
        <w:t>一、总则</w:t>
      </w:r>
    </w:p>
    <w:p>
      <w:pPr>
        <w:spacing w:line="360" w:lineRule="auto"/>
        <w:rPr>
          <w:rFonts w:ascii="宋体" w:hAnsi="宋体" w:cs="仿宋_GB2312"/>
          <w:color w:val="auto"/>
          <w:highlight w:val="none"/>
        </w:rPr>
      </w:pPr>
      <w:r>
        <w:rPr>
          <w:rFonts w:ascii="宋体" w:hAnsi="宋体" w:cs="仿宋_GB2312"/>
          <w:color w:val="auto"/>
          <w:highlight w:val="none"/>
        </w:rPr>
        <w:t>1</w:t>
      </w:r>
      <w:r>
        <w:rPr>
          <w:rFonts w:hint="eastAsia" w:ascii="宋体" w:hAnsi="宋体" w:cs="仿宋_GB2312"/>
          <w:color w:val="auto"/>
          <w:highlight w:val="none"/>
        </w:rPr>
        <w:t>、概述</w:t>
      </w:r>
    </w:p>
    <w:p>
      <w:pPr>
        <w:spacing w:line="360" w:lineRule="auto"/>
        <w:ind w:firstLine="420" w:firstLineChars="200"/>
        <w:rPr>
          <w:rFonts w:ascii="宋体" w:hAnsi="宋体" w:cs="仿宋_GB2312"/>
          <w:color w:val="auto"/>
          <w:highlight w:val="none"/>
        </w:rPr>
      </w:pPr>
      <w:bookmarkStart w:id="76" w:name="_Hlk57814874"/>
      <w:r>
        <w:rPr>
          <w:rFonts w:hint="eastAsia" w:ascii="宋体" w:hAnsi="宋体" w:cs="仿宋_GB2312"/>
          <w:color w:val="auto"/>
          <w:highlight w:val="none"/>
        </w:rPr>
        <w:t>投标人应按照本文件的要求提供详细的技术建议，投标人提供的各项系统的业务功能、技术指标、服务内容应完全符合招标人指明的标准。</w:t>
      </w:r>
      <w:bookmarkEnd w:id="76"/>
    </w:p>
    <w:p>
      <w:pPr>
        <w:spacing w:line="360" w:lineRule="auto"/>
        <w:rPr>
          <w:rFonts w:ascii="宋体" w:hAnsi="宋体" w:cs="仿宋_GB2312"/>
          <w:color w:val="auto"/>
          <w:highlight w:val="none"/>
        </w:rPr>
      </w:pPr>
      <w:bookmarkStart w:id="77" w:name="_Hlk57816061"/>
      <w:r>
        <w:rPr>
          <w:rFonts w:ascii="宋体" w:hAnsi="宋体" w:cs="仿宋_GB2312"/>
          <w:color w:val="auto"/>
          <w:highlight w:val="none"/>
        </w:rPr>
        <w:t>2</w:t>
      </w:r>
      <w:r>
        <w:rPr>
          <w:rFonts w:hint="eastAsia" w:ascii="宋体" w:hAnsi="宋体" w:cs="仿宋_GB2312"/>
          <w:color w:val="auto"/>
          <w:highlight w:val="none"/>
        </w:rPr>
        <w:t>、总体要求</w:t>
      </w:r>
    </w:p>
    <w:bookmarkEnd w:id="77"/>
    <w:p>
      <w:pPr>
        <w:spacing w:line="360" w:lineRule="auto"/>
        <w:ind w:firstLine="420" w:firstLineChars="200"/>
        <w:rPr>
          <w:rFonts w:ascii="宋体" w:hAnsi="宋体" w:cs="仿宋_GB2312"/>
          <w:color w:val="auto"/>
          <w:highlight w:val="none"/>
        </w:rPr>
      </w:pPr>
      <w:bookmarkStart w:id="78" w:name="_Hlk57816104"/>
      <w:r>
        <w:rPr>
          <w:rFonts w:hint="eastAsia" w:ascii="宋体" w:hAnsi="宋体" w:cs="仿宋_GB2312"/>
          <w:color w:val="auto"/>
          <w:highlight w:val="none"/>
        </w:rPr>
        <w:t>（1）投标人应按照本文件的要求提供报价和详细的技术建议（含细化到功能模块的技术建议书、技术文件清单、软件功能清单）。</w:t>
      </w:r>
    </w:p>
    <w:p>
      <w:pPr>
        <w:spacing w:line="360" w:lineRule="auto"/>
        <w:ind w:firstLine="420" w:firstLineChars="200"/>
        <w:rPr>
          <w:rFonts w:ascii="宋体" w:hAnsi="宋体" w:cs="仿宋_GB2312"/>
          <w:color w:val="auto"/>
          <w:highlight w:val="none"/>
        </w:rPr>
      </w:pPr>
      <w:r>
        <w:rPr>
          <w:rFonts w:hint="eastAsia" w:ascii="宋体" w:hAnsi="宋体" w:cs="仿宋_GB2312"/>
          <w:color w:val="auto"/>
          <w:highlight w:val="none"/>
        </w:rPr>
        <w:t>（2）在技术谈判的各个阶段，招标人将以书面形式要求投标人对有关问题进行进一步的技术澄清，投标人应以书面形式给予正式应答；所有各阶段的技术澄清文件都将作为合同附件。</w:t>
      </w:r>
    </w:p>
    <w:p>
      <w:pPr>
        <w:spacing w:line="360" w:lineRule="auto"/>
        <w:ind w:firstLine="420" w:firstLineChars="200"/>
        <w:rPr>
          <w:rFonts w:ascii="宋体" w:hAnsi="宋体" w:cs="仿宋_GB2312"/>
          <w:color w:val="auto"/>
          <w:highlight w:val="none"/>
        </w:rPr>
      </w:pPr>
      <w:bookmarkStart w:id="79" w:name="_Hlk57813867"/>
      <w:bookmarkStart w:id="80" w:name="_Hlk57814981"/>
      <w:r>
        <w:rPr>
          <w:rFonts w:hint="eastAsia" w:ascii="宋体" w:hAnsi="宋体" w:cs="仿宋_GB2312"/>
          <w:color w:val="auto"/>
          <w:highlight w:val="none"/>
        </w:rPr>
        <w:t>（3）投标人应负责对招标人基本情况的内容（含本文件）进行保密，投标人不应将其中的内容透露给第三方，本文件不得在非投标人有关人员之外的范围中被展示、传阅，否则，投标人自行承担一切经济和法律责任。</w:t>
      </w:r>
    </w:p>
    <w:p>
      <w:pPr>
        <w:spacing w:line="360" w:lineRule="auto"/>
        <w:ind w:firstLine="420" w:firstLineChars="200"/>
        <w:rPr>
          <w:rFonts w:ascii="宋体" w:hAnsi="宋体" w:cs="仿宋_GB2312"/>
          <w:color w:val="auto"/>
          <w:highlight w:val="none"/>
        </w:rPr>
      </w:pPr>
      <w:r>
        <w:rPr>
          <w:rFonts w:hint="eastAsia" w:ascii="宋体" w:hAnsi="宋体" w:cs="仿宋_GB2312"/>
          <w:color w:val="auto"/>
          <w:highlight w:val="none"/>
        </w:rPr>
        <w:t>（4）对于在本项目中所涉及的招标人有关情况和资料，属于招标人内部秘密，在未经招标人同意的情况下，投标人不得将其透露给第三方，否则，投标人将承担一切经济和法律责任。</w:t>
      </w:r>
    </w:p>
    <w:bookmarkEnd w:id="79"/>
    <w:bookmarkEnd w:id="80"/>
    <w:p>
      <w:pPr>
        <w:spacing w:line="360" w:lineRule="auto"/>
        <w:ind w:firstLine="420" w:firstLineChars="200"/>
        <w:rPr>
          <w:rFonts w:ascii="宋体" w:hAnsi="宋体" w:cs="仿宋_GB2312"/>
          <w:color w:val="auto"/>
          <w:highlight w:val="none"/>
        </w:rPr>
      </w:pPr>
      <w:r>
        <w:rPr>
          <w:rFonts w:hint="eastAsia" w:ascii="宋体" w:hAnsi="宋体" w:cs="仿宋_GB2312"/>
          <w:color w:val="auto"/>
          <w:highlight w:val="none"/>
        </w:rPr>
        <w:t>（5）投标人必须承诺所有提供的产品来源都是通过正当渠道提供，主要材料品牌禁止中标人通过第三方或贸易商采购，中标人必须直接从产品制造商购买由原厂直供。若产品涉及国际和国内第三方知识产权，那么需要在应标书中声明。</w:t>
      </w:r>
    </w:p>
    <w:bookmarkEnd w:id="78"/>
    <w:p>
      <w:pPr>
        <w:spacing w:line="360" w:lineRule="auto"/>
        <w:rPr>
          <w:rFonts w:ascii="宋体" w:hAnsi="宋体" w:cs="仿宋_GB2312"/>
          <w:color w:val="auto"/>
          <w:highlight w:val="none"/>
        </w:rPr>
      </w:pPr>
      <w:bookmarkStart w:id="81" w:name="_Hlk57816298"/>
      <w:r>
        <w:rPr>
          <w:rFonts w:ascii="宋体" w:hAnsi="宋体" w:cs="仿宋_GB2312"/>
          <w:color w:val="auto"/>
          <w:highlight w:val="none"/>
        </w:rPr>
        <w:t>3</w:t>
      </w:r>
      <w:r>
        <w:rPr>
          <w:rFonts w:hint="eastAsia" w:ascii="宋体" w:hAnsi="宋体" w:cs="仿宋_GB2312"/>
          <w:color w:val="auto"/>
          <w:highlight w:val="none"/>
        </w:rPr>
        <w:t>、对投标人技术应答材料的要求</w:t>
      </w:r>
    </w:p>
    <w:bookmarkEnd w:id="81"/>
    <w:p>
      <w:pPr>
        <w:spacing w:line="360" w:lineRule="auto"/>
        <w:ind w:firstLine="420" w:firstLineChars="200"/>
        <w:rPr>
          <w:rFonts w:ascii="宋体" w:hAnsi="宋体" w:cs="仿宋_GB2312"/>
          <w:color w:val="auto"/>
          <w:highlight w:val="none"/>
        </w:rPr>
      </w:pPr>
      <w:bookmarkStart w:id="82" w:name="_Hlk57816322"/>
      <w:r>
        <w:rPr>
          <w:rFonts w:hint="eastAsia" w:ascii="宋体" w:hAnsi="宋体" w:cs="仿宋_GB2312"/>
          <w:color w:val="auto"/>
          <w:highlight w:val="none"/>
        </w:rPr>
        <w:t>投标人在收到本规范书后在规定时间内，应按照本规范书的相关要求用中文提供报价和详细的技术应答材料。投标人所提供的技术应答材料应包含以下的内容：</w:t>
      </w:r>
    </w:p>
    <w:bookmarkEnd w:id="82"/>
    <w:p>
      <w:pPr>
        <w:spacing w:line="360" w:lineRule="auto"/>
        <w:ind w:firstLine="420" w:firstLineChars="200"/>
        <w:rPr>
          <w:rFonts w:ascii="宋体" w:hAnsi="宋体" w:cs="仿宋_GB2312"/>
          <w:color w:val="auto"/>
          <w:highlight w:val="none"/>
        </w:rPr>
      </w:pPr>
      <w:bookmarkStart w:id="83" w:name="_Hlk57035407"/>
      <w:bookmarkStart w:id="84" w:name="_Hlk57816335"/>
      <w:r>
        <w:rPr>
          <w:rFonts w:hint="eastAsia" w:ascii="宋体" w:hAnsi="宋体" w:cs="仿宋_GB2312"/>
          <w:color w:val="auto"/>
          <w:highlight w:val="none"/>
        </w:rPr>
        <w:t>（1）技术规范书点对点应答</w:t>
      </w:r>
      <w:bookmarkEnd w:id="83"/>
    </w:p>
    <w:bookmarkEnd w:id="84"/>
    <w:p>
      <w:pPr>
        <w:spacing w:line="360" w:lineRule="auto"/>
        <w:ind w:firstLine="420" w:firstLineChars="200"/>
        <w:rPr>
          <w:rFonts w:ascii="宋体" w:hAnsi="宋体" w:cs="仿宋_GB2312"/>
          <w:color w:val="auto"/>
          <w:highlight w:val="none"/>
        </w:rPr>
      </w:pPr>
      <w:r>
        <w:rPr>
          <w:rFonts w:hint="eastAsia" w:ascii="宋体" w:hAnsi="宋体" w:cs="仿宋_GB2312"/>
          <w:color w:val="auto"/>
          <w:highlight w:val="none"/>
        </w:rPr>
        <w:t>投标人应对合同条款和本章节项目要求进行逐条逐项答复和解释。首先对实现或满足程度明确作出“满足”、“不满足”、“部分满足”等应答，然后作出具体、详细的说明或标明参见的章节。不得使用诸如“注意到”、“理解”等模糊之词回答，否则视该条回答无效。招标人根据谈判过程中投标人的应答情况，自行判断投标人是否真正满足招标人要求。满足、部分满足、不满足的定义分别如下：</w:t>
      </w:r>
    </w:p>
    <w:p>
      <w:pPr>
        <w:spacing w:line="360" w:lineRule="auto"/>
        <w:ind w:firstLine="420" w:firstLineChars="200"/>
        <w:rPr>
          <w:rFonts w:ascii="宋体" w:hAnsi="宋体" w:cs="仿宋_GB2312"/>
          <w:color w:val="auto"/>
          <w:highlight w:val="none"/>
        </w:rPr>
      </w:pPr>
      <w:r>
        <w:rPr>
          <w:rFonts w:hint="eastAsia" w:ascii="宋体" w:hAnsi="宋体" w:cs="仿宋_GB2312"/>
          <w:color w:val="auto"/>
          <w:highlight w:val="none"/>
        </w:rPr>
        <w:t>满足：全面理解招标人要求并在技术上完全实现招标人的要求，投标人在本工程配置和报价中已包含实现该要求的全部费用，同时保证在本工程中实现。在投标人应答为满足的条款中，投标人的解释说明视为对其技术实现方案的阐述，而并非对该条款要求的重新解释，若投标人的解释说明与该条款要求有显式或暗示的不一致，只要投标人对该条款的应答为满足仍视为投标人承诺按照招标人的解释去实现。</w:t>
      </w:r>
    </w:p>
    <w:p>
      <w:pPr>
        <w:spacing w:line="360" w:lineRule="auto"/>
        <w:ind w:firstLine="420" w:firstLineChars="200"/>
        <w:rPr>
          <w:rFonts w:ascii="宋体" w:hAnsi="宋体" w:cs="仿宋_GB2312"/>
          <w:color w:val="auto"/>
          <w:highlight w:val="none"/>
        </w:rPr>
      </w:pPr>
      <w:r>
        <w:rPr>
          <w:rFonts w:hint="eastAsia" w:ascii="宋体" w:hAnsi="宋体" w:cs="仿宋_GB2312"/>
          <w:color w:val="auto"/>
          <w:highlight w:val="none"/>
        </w:rPr>
        <w:t>部分满足：理解招标人要求，但是只能实现招标人的部分要求或不能完全实现招标人的要求，同时投标人在本工程配置和报价中已包含实现其中所满足部分的全部费用。</w:t>
      </w:r>
    </w:p>
    <w:p>
      <w:pPr>
        <w:spacing w:line="360" w:lineRule="auto"/>
        <w:ind w:firstLine="420" w:firstLineChars="200"/>
        <w:rPr>
          <w:rFonts w:ascii="宋体" w:hAnsi="宋体" w:cs="仿宋_GB2312"/>
          <w:color w:val="auto"/>
          <w:highlight w:val="none"/>
        </w:rPr>
      </w:pPr>
      <w:r>
        <w:rPr>
          <w:rFonts w:hint="eastAsia" w:ascii="宋体" w:hAnsi="宋体" w:cs="仿宋_GB2312"/>
          <w:color w:val="auto"/>
          <w:highlight w:val="none"/>
        </w:rPr>
        <w:t>不满足：不理解招标人要求或者无法实现招标人的要求。</w:t>
      </w:r>
    </w:p>
    <w:p>
      <w:pPr>
        <w:spacing w:line="360" w:lineRule="auto"/>
        <w:ind w:firstLine="420" w:firstLineChars="200"/>
        <w:rPr>
          <w:rFonts w:ascii="宋体" w:hAnsi="宋体" w:cs="仿宋_GB2312"/>
          <w:color w:val="auto"/>
          <w:highlight w:val="none"/>
        </w:rPr>
      </w:pPr>
      <w:r>
        <w:rPr>
          <w:rFonts w:hint="eastAsia" w:ascii="宋体" w:hAnsi="宋体" w:cs="仿宋_GB2312"/>
          <w:color w:val="auto"/>
          <w:highlight w:val="none"/>
        </w:rPr>
        <w:t>对于应答为“部分满足”和“不满足”的部分，投标人应该详细说明在“部分满足”中，哪些是满足的、哪些是不满足的，同时说明对于“不满足”部分有无解决方案和计划以及相应的开发完成的具体时间进度安排。</w:t>
      </w:r>
    </w:p>
    <w:p>
      <w:pPr>
        <w:spacing w:line="360" w:lineRule="auto"/>
        <w:ind w:firstLine="420" w:firstLineChars="200"/>
        <w:rPr>
          <w:rFonts w:ascii="宋体" w:hAnsi="宋体" w:cs="仿宋_GB2312"/>
          <w:color w:val="auto"/>
          <w:highlight w:val="none"/>
        </w:rPr>
      </w:pPr>
      <w:bookmarkStart w:id="85" w:name="_Hlk57816345"/>
      <w:r>
        <w:rPr>
          <w:rFonts w:hint="eastAsia" w:ascii="宋体" w:hAnsi="宋体" w:cs="仿宋_GB2312"/>
          <w:color w:val="auto"/>
          <w:highlight w:val="none"/>
        </w:rPr>
        <w:t>（2）技术建议书</w:t>
      </w:r>
    </w:p>
    <w:bookmarkEnd w:id="85"/>
    <w:p>
      <w:pPr>
        <w:spacing w:line="360" w:lineRule="auto"/>
        <w:ind w:firstLine="420" w:firstLineChars="200"/>
        <w:rPr>
          <w:rFonts w:ascii="宋体" w:hAnsi="宋体" w:cs="仿宋_GB2312"/>
          <w:color w:val="auto"/>
          <w:highlight w:val="none"/>
        </w:rPr>
      </w:pPr>
      <w:bookmarkStart w:id="86" w:name="_Hlk57816355"/>
      <w:r>
        <w:rPr>
          <w:rFonts w:hint="eastAsia" w:ascii="宋体" w:hAnsi="宋体" w:cs="仿宋_GB2312"/>
          <w:color w:val="auto"/>
          <w:highlight w:val="none"/>
        </w:rPr>
        <w:t>提供针对</w:t>
      </w:r>
      <w:r>
        <w:rPr>
          <w:rFonts w:hint="eastAsia"/>
          <w:color w:val="auto"/>
          <w:highlight w:val="none"/>
          <w:shd w:val="clear" w:color="auto" w:fill="FFFFFF"/>
        </w:rPr>
        <w:t>中石化丽水7座分布式光伏发电站项目</w:t>
      </w:r>
      <w:r>
        <w:rPr>
          <w:rFonts w:hint="eastAsia" w:ascii="宋体" w:hAnsi="宋体" w:cs="仿宋_GB2312"/>
          <w:color w:val="auto"/>
          <w:highlight w:val="none"/>
        </w:rPr>
        <w:t>的技术方案建议，建议书应至少包括但不限于以下内容：</w:t>
      </w:r>
    </w:p>
    <w:p>
      <w:pPr>
        <w:pStyle w:val="76"/>
        <w:autoSpaceDE w:val="0"/>
        <w:autoSpaceDN w:val="0"/>
        <w:adjustRightInd w:val="0"/>
        <w:spacing w:line="360" w:lineRule="auto"/>
        <w:ind w:firstLineChars="0"/>
        <w:jc w:val="left"/>
        <w:rPr>
          <w:rFonts w:ascii="宋体" w:hAnsi="宋体" w:cs="仿宋_GB2312"/>
          <w:color w:val="auto"/>
          <w:highlight w:val="none"/>
        </w:rPr>
      </w:pPr>
      <w:r>
        <w:rPr>
          <w:rFonts w:hint="eastAsia"/>
          <w:color w:val="auto"/>
          <w:highlight w:val="none"/>
          <w:shd w:val="clear" w:color="auto" w:fill="FFFFFF"/>
        </w:rPr>
        <w:t>（3）屋顶分布式光伏电站建设方案</w:t>
      </w:r>
      <w:r>
        <w:rPr>
          <w:rFonts w:hint="eastAsia" w:ascii="宋体" w:hAnsi="宋体" w:cs="仿宋_GB2312"/>
          <w:color w:val="auto"/>
          <w:highlight w:val="none"/>
        </w:rPr>
        <w:t>：包括电站设计方案、施工组织方案。</w:t>
      </w:r>
    </w:p>
    <w:bookmarkEnd w:id="86"/>
    <w:p>
      <w:pPr>
        <w:spacing w:line="360" w:lineRule="auto"/>
        <w:ind w:firstLine="420" w:firstLineChars="200"/>
        <w:rPr>
          <w:rFonts w:ascii="宋体" w:hAnsi="宋体" w:cs="仿宋_GB2312"/>
          <w:color w:val="auto"/>
          <w:highlight w:val="none"/>
        </w:rPr>
      </w:pPr>
      <w:bookmarkStart w:id="87" w:name="_Hlk57816464"/>
      <w:r>
        <w:rPr>
          <w:rFonts w:ascii="宋体" w:hAnsi="宋体" w:cs="仿宋_GB2312"/>
          <w:color w:val="auto"/>
          <w:highlight w:val="none"/>
        </w:rPr>
        <w:t>1</w:t>
      </w:r>
      <w:r>
        <w:rPr>
          <w:rFonts w:hint="eastAsia" w:ascii="宋体" w:hAnsi="宋体" w:cs="仿宋_GB2312"/>
          <w:color w:val="auto"/>
          <w:highlight w:val="none"/>
        </w:rPr>
        <w:t>）技术文件清单</w:t>
      </w:r>
    </w:p>
    <w:bookmarkEnd w:id="87"/>
    <w:p>
      <w:pPr>
        <w:spacing w:line="360" w:lineRule="auto"/>
        <w:ind w:firstLine="420" w:firstLineChars="200"/>
        <w:rPr>
          <w:rFonts w:ascii="宋体" w:hAnsi="宋体" w:cs="仿宋_GB2312"/>
          <w:color w:val="auto"/>
          <w:highlight w:val="none"/>
        </w:rPr>
      </w:pPr>
      <w:r>
        <w:rPr>
          <w:rFonts w:hint="eastAsia" w:ascii="宋体" w:hAnsi="宋体" w:cs="仿宋_GB2312"/>
          <w:color w:val="auto"/>
          <w:highlight w:val="none"/>
        </w:rPr>
        <w:t>列出项目过程中及交付后向招标人提供的技术文档的种类、数量及简要内容介绍。</w:t>
      </w:r>
    </w:p>
    <w:p>
      <w:pPr>
        <w:spacing w:line="360" w:lineRule="auto"/>
        <w:ind w:firstLine="420" w:firstLineChars="200"/>
        <w:rPr>
          <w:rFonts w:ascii="宋体" w:hAnsi="宋体" w:cs="仿宋_GB2312"/>
          <w:color w:val="auto"/>
          <w:highlight w:val="none"/>
        </w:rPr>
      </w:pPr>
      <w:bookmarkStart w:id="88" w:name="_Hlk57816479"/>
      <w:r>
        <w:rPr>
          <w:rFonts w:ascii="宋体" w:hAnsi="宋体" w:cs="仿宋_GB2312"/>
          <w:color w:val="auto"/>
          <w:highlight w:val="none"/>
        </w:rPr>
        <w:t>2</w:t>
      </w:r>
      <w:r>
        <w:rPr>
          <w:rFonts w:hint="eastAsia" w:ascii="宋体" w:hAnsi="宋体" w:cs="仿宋_GB2312"/>
          <w:color w:val="auto"/>
          <w:highlight w:val="none"/>
        </w:rPr>
        <w:t>）软件功能清单</w:t>
      </w:r>
    </w:p>
    <w:p>
      <w:pPr>
        <w:spacing w:line="360" w:lineRule="auto"/>
        <w:ind w:firstLine="420" w:firstLineChars="200"/>
        <w:rPr>
          <w:rFonts w:ascii="宋体" w:hAnsi="宋体" w:cs="仿宋_GB2312"/>
          <w:color w:val="auto"/>
          <w:highlight w:val="none"/>
        </w:rPr>
      </w:pPr>
      <w:r>
        <w:rPr>
          <w:rFonts w:hint="eastAsia" w:ascii="宋体" w:hAnsi="宋体" w:cs="仿宋_GB2312"/>
          <w:color w:val="auto"/>
          <w:highlight w:val="none"/>
        </w:rPr>
        <w:t>列出交付的应用软件的功能及简要说明，并提供证明材料，包括但不限于截图等。</w:t>
      </w:r>
    </w:p>
    <w:bookmarkEnd w:id="88"/>
    <w:p>
      <w:pPr>
        <w:spacing w:line="360" w:lineRule="auto"/>
        <w:ind w:firstLine="420" w:firstLineChars="200"/>
        <w:rPr>
          <w:rFonts w:ascii="宋体" w:hAnsi="宋体" w:cs="仿宋_GB2312"/>
          <w:color w:val="auto"/>
          <w:highlight w:val="none"/>
        </w:rPr>
      </w:pPr>
      <w:bookmarkStart w:id="89" w:name="_Hlk57816495"/>
      <w:r>
        <w:rPr>
          <w:rFonts w:ascii="宋体" w:hAnsi="宋体" w:cs="仿宋_GB2312"/>
          <w:color w:val="auto"/>
          <w:highlight w:val="none"/>
        </w:rPr>
        <w:t>3</w:t>
      </w:r>
      <w:r>
        <w:rPr>
          <w:rFonts w:hint="eastAsia" w:ascii="宋体" w:hAnsi="宋体" w:cs="仿宋_GB2312"/>
          <w:color w:val="auto"/>
          <w:highlight w:val="none"/>
        </w:rPr>
        <w:t>）实施计划</w:t>
      </w:r>
    </w:p>
    <w:p>
      <w:pPr>
        <w:spacing w:line="360" w:lineRule="auto"/>
        <w:ind w:firstLine="420" w:firstLineChars="200"/>
        <w:rPr>
          <w:rFonts w:ascii="宋体" w:hAnsi="宋体" w:cs="仿宋_GB2312"/>
          <w:color w:val="auto"/>
          <w:highlight w:val="none"/>
        </w:rPr>
      </w:pPr>
      <w:r>
        <w:rPr>
          <w:rFonts w:hint="eastAsia" w:ascii="宋体" w:hAnsi="宋体" w:cs="仿宋_GB2312"/>
          <w:color w:val="auto"/>
          <w:highlight w:val="none"/>
        </w:rPr>
        <w:t>投标人提出可行的实施计划和人员安排，实施方案至少包括以下内容：</w:t>
      </w:r>
    </w:p>
    <w:p>
      <w:pPr>
        <w:spacing w:line="360" w:lineRule="auto"/>
        <w:ind w:firstLine="420" w:firstLineChars="200"/>
        <w:rPr>
          <w:rFonts w:ascii="宋体" w:hAnsi="宋体" w:cs="仿宋_GB2312"/>
          <w:color w:val="auto"/>
          <w:highlight w:val="none"/>
        </w:rPr>
      </w:pPr>
      <w:r>
        <w:rPr>
          <w:rFonts w:ascii="宋体" w:hAnsi="宋体" w:cs="仿宋_GB2312"/>
          <w:color w:val="auto"/>
          <w:highlight w:val="none"/>
        </w:rPr>
        <w:t>4</w:t>
      </w:r>
      <w:r>
        <w:rPr>
          <w:rFonts w:hint="eastAsia" w:ascii="宋体" w:hAnsi="宋体" w:cs="仿宋_GB2312"/>
          <w:color w:val="auto"/>
          <w:highlight w:val="none"/>
        </w:rPr>
        <w:t>）实施详细步骤，并说明每个步骤中的关键工作；</w:t>
      </w:r>
    </w:p>
    <w:p>
      <w:pPr>
        <w:spacing w:line="360" w:lineRule="auto"/>
        <w:ind w:firstLine="420" w:firstLineChars="200"/>
        <w:rPr>
          <w:rFonts w:ascii="宋体" w:hAnsi="宋体" w:cs="仿宋_GB2312"/>
          <w:color w:val="auto"/>
          <w:highlight w:val="none"/>
        </w:rPr>
      </w:pPr>
      <w:r>
        <w:rPr>
          <w:rFonts w:ascii="宋体" w:hAnsi="宋体" w:cs="仿宋_GB2312"/>
          <w:color w:val="auto"/>
          <w:highlight w:val="none"/>
        </w:rPr>
        <w:t>5</w:t>
      </w:r>
      <w:r>
        <w:rPr>
          <w:rFonts w:hint="eastAsia" w:ascii="宋体" w:hAnsi="宋体" w:cs="仿宋_GB2312"/>
          <w:color w:val="auto"/>
          <w:highlight w:val="none"/>
        </w:rPr>
        <w:t>）进度进度计划表：投标人根据招标人对本工程进度要求，提出时间进度安排，提供进度图表（Project或Excel格式文件），起止时间应为合同签订始到竣工验收合格为止；</w:t>
      </w:r>
    </w:p>
    <w:p>
      <w:pPr>
        <w:spacing w:line="360" w:lineRule="auto"/>
        <w:ind w:firstLine="420" w:firstLineChars="200"/>
        <w:rPr>
          <w:rFonts w:ascii="宋体" w:hAnsi="宋体" w:cs="仿宋_GB2312"/>
          <w:color w:val="auto"/>
          <w:highlight w:val="none"/>
        </w:rPr>
      </w:pPr>
      <w:bookmarkStart w:id="90" w:name="_Hlk56785805"/>
      <w:r>
        <w:rPr>
          <w:rFonts w:ascii="宋体" w:hAnsi="宋体" w:cs="仿宋_GB2312"/>
          <w:color w:val="auto"/>
          <w:highlight w:val="none"/>
        </w:rPr>
        <w:t>6</w:t>
      </w:r>
      <w:r>
        <w:rPr>
          <w:rFonts w:hint="eastAsia" w:ascii="宋体" w:hAnsi="宋体" w:cs="仿宋_GB2312"/>
          <w:color w:val="auto"/>
          <w:highlight w:val="none"/>
        </w:rPr>
        <w:t>）开发人员安排：提供组织结构，详细的人员名单、人员简历；</w:t>
      </w:r>
    </w:p>
    <w:bookmarkEnd w:id="90"/>
    <w:p>
      <w:pPr>
        <w:spacing w:line="360" w:lineRule="auto"/>
        <w:ind w:firstLine="420" w:firstLineChars="200"/>
        <w:rPr>
          <w:rFonts w:ascii="宋体" w:hAnsi="宋体" w:cs="仿宋_GB2312"/>
          <w:color w:val="auto"/>
          <w:highlight w:val="none"/>
        </w:rPr>
      </w:pPr>
      <w:r>
        <w:rPr>
          <w:rFonts w:ascii="宋体" w:hAnsi="宋体" w:cs="仿宋_GB2312"/>
          <w:color w:val="auto"/>
          <w:highlight w:val="none"/>
        </w:rPr>
        <w:t>7</w:t>
      </w:r>
      <w:r>
        <w:rPr>
          <w:rFonts w:hint="eastAsia" w:ascii="宋体" w:hAnsi="宋体" w:cs="仿宋_GB2312"/>
          <w:color w:val="auto"/>
          <w:highlight w:val="none"/>
        </w:rPr>
        <w:t>）提供项目实施方案，要求项目实施责任落实到具体负责人；</w:t>
      </w:r>
    </w:p>
    <w:bookmarkEnd w:id="89"/>
    <w:p>
      <w:pPr>
        <w:spacing w:line="360" w:lineRule="auto"/>
        <w:ind w:firstLine="420" w:firstLineChars="200"/>
        <w:rPr>
          <w:rFonts w:ascii="宋体" w:hAnsi="宋体" w:cs="仿宋_GB2312"/>
          <w:color w:val="auto"/>
          <w:highlight w:val="none"/>
        </w:rPr>
      </w:pPr>
      <w:bookmarkStart w:id="91" w:name="_Hlk57816508"/>
      <w:r>
        <w:rPr>
          <w:rFonts w:hint="eastAsia" w:ascii="宋体" w:hAnsi="宋体" w:cs="仿宋_GB2312"/>
          <w:color w:val="auto"/>
          <w:highlight w:val="none"/>
        </w:rPr>
        <w:t>（4）验收及测试</w:t>
      </w:r>
    </w:p>
    <w:p>
      <w:pPr>
        <w:spacing w:line="360" w:lineRule="auto"/>
        <w:ind w:firstLine="420" w:firstLineChars="200"/>
        <w:rPr>
          <w:rFonts w:ascii="宋体" w:hAnsi="宋体" w:cs="仿宋_GB2312"/>
          <w:color w:val="auto"/>
          <w:highlight w:val="none"/>
        </w:rPr>
      </w:pPr>
      <w:bookmarkStart w:id="92" w:name="_Hlk57037488"/>
      <w:r>
        <w:rPr>
          <w:rFonts w:hint="eastAsia" w:ascii="宋体" w:hAnsi="宋体" w:cs="仿宋_GB2312"/>
          <w:color w:val="auto"/>
          <w:highlight w:val="none"/>
        </w:rPr>
        <w:t>详见“项目实施与验收”相关要求。</w:t>
      </w:r>
    </w:p>
    <w:bookmarkEnd w:id="91"/>
    <w:bookmarkEnd w:id="92"/>
    <w:p>
      <w:pPr>
        <w:spacing w:line="360" w:lineRule="auto"/>
        <w:ind w:firstLine="420" w:firstLineChars="200"/>
        <w:rPr>
          <w:rFonts w:ascii="宋体" w:hAnsi="宋体" w:cs="仿宋_GB2312"/>
          <w:color w:val="auto"/>
          <w:highlight w:val="none"/>
        </w:rPr>
      </w:pPr>
      <w:bookmarkStart w:id="93" w:name="_Hlk57816514"/>
      <w:r>
        <w:rPr>
          <w:rFonts w:hint="eastAsia" w:ascii="宋体" w:hAnsi="宋体" w:cs="仿宋_GB2312"/>
          <w:color w:val="auto"/>
          <w:highlight w:val="none"/>
        </w:rPr>
        <w:t>（5）售后服务</w:t>
      </w:r>
    </w:p>
    <w:bookmarkEnd w:id="93"/>
    <w:p>
      <w:pPr>
        <w:spacing w:line="360" w:lineRule="auto"/>
        <w:ind w:firstLine="420" w:firstLineChars="200"/>
        <w:rPr>
          <w:rFonts w:ascii="宋体" w:hAnsi="宋体" w:cs="仿宋_GB2312"/>
          <w:color w:val="auto"/>
          <w:highlight w:val="none"/>
        </w:rPr>
      </w:pPr>
      <w:bookmarkStart w:id="94" w:name="_Hlk57037495"/>
      <w:r>
        <w:rPr>
          <w:rFonts w:hint="eastAsia" w:ascii="宋体" w:hAnsi="宋体" w:cs="仿宋_GB2312"/>
          <w:color w:val="auto"/>
          <w:highlight w:val="none"/>
        </w:rPr>
        <w:t>详见“技术服务和培训及技术文件”相关要求。</w:t>
      </w:r>
    </w:p>
    <w:bookmarkEnd w:id="94"/>
    <w:p>
      <w:pPr>
        <w:spacing w:line="360" w:lineRule="auto"/>
        <w:ind w:firstLine="420" w:firstLineChars="200"/>
        <w:rPr>
          <w:rFonts w:ascii="宋体" w:hAnsi="宋体" w:cs="仿宋_GB2312"/>
          <w:color w:val="auto"/>
          <w:highlight w:val="none"/>
        </w:rPr>
      </w:pPr>
      <w:bookmarkStart w:id="95" w:name="_Hlk57816519"/>
      <w:r>
        <w:rPr>
          <w:rFonts w:hint="eastAsia" w:ascii="宋体" w:hAnsi="宋体" w:cs="仿宋_GB2312"/>
          <w:color w:val="auto"/>
          <w:highlight w:val="none"/>
        </w:rPr>
        <w:t>（6）培训</w:t>
      </w:r>
    </w:p>
    <w:bookmarkEnd w:id="95"/>
    <w:p>
      <w:pPr>
        <w:spacing w:line="360" w:lineRule="auto"/>
        <w:ind w:firstLine="420" w:firstLineChars="200"/>
        <w:rPr>
          <w:rFonts w:ascii="宋体" w:hAnsi="宋体" w:cs="仿宋_GB2312"/>
          <w:color w:val="auto"/>
          <w:highlight w:val="none"/>
        </w:rPr>
      </w:pPr>
      <w:bookmarkStart w:id="96" w:name="_Hlk57037502"/>
      <w:r>
        <w:rPr>
          <w:rFonts w:hint="eastAsia" w:ascii="宋体" w:hAnsi="宋体" w:cs="仿宋_GB2312"/>
          <w:color w:val="auto"/>
          <w:highlight w:val="none"/>
        </w:rPr>
        <w:t>详见“技术服务和培训及技术文件”相关要求。</w:t>
      </w:r>
    </w:p>
    <w:bookmarkEnd w:id="96"/>
    <w:p>
      <w:pPr>
        <w:spacing w:line="360" w:lineRule="auto"/>
        <w:ind w:firstLine="420" w:firstLineChars="200"/>
        <w:rPr>
          <w:rFonts w:ascii="宋体" w:hAnsi="宋体" w:cs="仿宋_GB2312"/>
          <w:color w:val="auto"/>
          <w:highlight w:val="none"/>
        </w:rPr>
      </w:pPr>
      <w:bookmarkStart w:id="97" w:name="_Hlk57816539"/>
      <w:r>
        <w:rPr>
          <w:rFonts w:hint="eastAsia" w:ascii="宋体" w:hAnsi="宋体" w:cs="仿宋_GB2312"/>
          <w:color w:val="auto"/>
          <w:highlight w:val="none"/>
        </w:rPr>
        <w:t>（7）信息安全解决方案</w:t>
      </w:r>
    </w:p>
    <w:p>
      <w:pPr>
        <w:spacing w:line="360" w:lineRule="auto"/>
        <w:ind w:firstLine="420" w:firstLineChars="200"/>
        <w:rPr>
          <w:rFonts w:ascii="宋体" w:hAnsi="宋体" w:cs="仿宋_GB2312"/>
          <w:color w:val="auto"/>
          <w:highlight w:val="none"/>
        </w:rPr>
      </w:pPr>
      <w:bookmarkStart w:id="98" w:name="_Hlk57037523"/>
      <w:r>
        <w:rPr>
          <w:rFonts w:hint="eastAsia" w:ascii="宋体" w:hAnsi="宋体" w:cs="仿宋_GB2312"/>
          <w:color w:val="auto"/>
          <w:highlight w:val="none"/>
        </w:rPr>
        <w:t>投标人为解决招标人因本项目可能涉及的信息安全问题而提供的信息安全解决方案。</w:t>
      </w:r>
    </w:p>
    <w:bookmarkEnd w:id="97"/>
    <w:bookmarkEnd w:id="98"/>
    <w:p>
      <w:pPr>
        <w:pStyle w:val="3"/>
        <w:snapToGrid w:val="0"/>
        <w:spacing w:before="240" w:after="240" w:line="276" w:lineRule="auto"/>
        <w:rPr>
          <w:rFonts w:cs="仿宋_GB2312"/>
          <w:b w:val="0"/>
          <w:bCs/>
          <w:color w:val="auto"/>
          <w:highlight w:val="none"/>
        </w:rPr>
      </w:pPr>
      <w:r>
        <w:rPr>
          <w:rFonts w:hint="eastAsia" w:cs="仿宋_GB2312"/>
          <w:bCs/>
          <w:color w:val="auto"/>
          <w:sz w:val="24"/>
          <w:highlight w:val="none"/>
        </w:rPr>
        <w:t>二、建设目标</w:t>
      </w:r>
    </w:p>
    <w:p>
      <w:pPr>
        <w:pStyle w:val="155"/>
        <w:spacing w:line="360" w:lineRule="auto"/>
        <w:ind w:firstLine="480"/>
        <w:rPr>
          <w:rFonts w:ascii="Times New Roman" w:hAnsi="Times New Roman" w:cs="Times New Roman"/>
          <w:color w:val="auto"/>
          <w:kern w:val="0"/>
          <w:sz w:val="24"/>
          <w:szCs w:val="24"/>
          <w:highlight w:val="none"/>
        </w:rPr>
      </w:pPr>
      <w:bookmarkStart w:id="99" w:name="_Hlk57881265"/>
      <w:r>
        <w:rPr>
          <w:rFonts w:hint="eastAsia" w:ascii="Times New Roman" w:hAnsi="Times New Roman" w:cs="Times New Roman"/>
          <w:color w:val="auto"/>
          <w:kern w:val="0"/>
          <w:sz w:val="24"/>
          <w:szCs w:val="24"/>
          <w:highlight w:val="none"/>
        </w:rPr>
        <w:t>中石化丽水7座分布式光伏发电站项目最终建设目标是通过利用光伏绿色能源实现加油站低碳运营。</w:t>
      </w:r>
    </w:p>
    <w:p>
      <w:pPr>
        <w:pStyle w:val="3"/>
        <w:snapToGrid w:val="0"/>
        <w:spacing w:before="240" w:after="240" w:line="276" w:lineRule="auto"/>
        <w:rPr>
          <w:rFonts w:cs="仿宋_GB2312"/>
          <w:b w:val="0"/>
          <w:bCs/>
          <w:color w:val="auto"/>
          <w:highlight w:val="none"/>
        </w:rPr>
      </w:pPr>
      <w:r>
        <w:rPr>
          <w:rFonts w:hint="eastAsia" w:cs="仿宋_GB2312"/>
          <w:bCs/>
          <w:color w:val="auto"/>
          <w:sz w:val="24"/>
          <w:highlight w:val="none"/>
        </w:rPr>
        <w:t>三、建设内容</w:t>
      </w:r>
    </w:p>
    <w:p>
      <w:pPr>
        <w:spacing w:line="360" w:lineRule="auto"/>
        <w:ind w:firstLine="420" w:firstLineChars="200"/>
        <w:outlineLvl w:val="0"/>
        <w:rPr>
          <w:color w:val="auto"/>
          <w:szCs w:val="21"/>
          <w:highlight w:val="none"/>
        </w:rPr>
      </w:pPr>
      <w:r>
        <w:rPr>
          <w:rFonts w:hint="eastAsia"/>
          <w:color w:val="auto"/>
          <w:szCs w:val="21"/>
          <w:highlight w:val="none"/>
        </w:rPr>
        <w:t>中石化丽水7座分布式光伏发电站项目</w:t>
      </w:r>
      <w:r>
        <w:rPr>
          <w:color w:val="auto"/>
          <w:szCs w:val="21"/>
          <w:highlight w:val="none"/>
        </w:rPr>
        <w:t>，招标范围</w:t>
      </w:r>
      <w:r>
        <w:rPr>
          <w:rFonts w:hint="eastAsia"/>
          <w:color w:val="auto"/>
          <w:szCs w:val="21"/>
          <w:highlight w:val="none"/>
        </w:rPr>
        <w:t>包括但不限于：完成从光伏组件排布至正常并网发电的全部设计(设计过程中需进行建筑物屋面安全性复核、现场实地测量)以及设备材料采购供应、安装、后台监控、系统调试、试运行直至交付生产，以及在质量保修期内的消缺等全过程的工作，在满足合同其它责任和义务的同时使本项目达到相关验收标准的要求；项目实施过程中要求提供设备的试验、运行、维护手册；建设期整个项目保险（包括建筑、安装、设备、总承包方人员及第三方人员）；确保设备安装后建筑物的安全性，并配合业主办理并网相关手续。</w:t>
      </w:r>
    </w:p>
    <w:p>
      <w:pPr>
        <w:tabs>
          <w:tab w:val="right" w:leader="dot" w:pos="9555"/>
        </w:tabs>
        <w:spacing w:line="360" w:lineRule="auto"/>
        <w:ind w:firstLine="420" w:firstLineChars="200"/>
        <w:jc w:val="left"/>
        <w:rPr>
          <w:rFonts w:ascii="宋体" w:hAnsi="宋体"/>
          <w:color w:val="auto"/>
          <w:highlight w:val="none"/>
        </w:rPr>
      </w:pPr>
      <w:r>
        <w:rPr>
          <w:rFonts w:hint="eastAsia" w:ascii="宋体" w:hAnsi="宋体"/>
          <w:color w:val="auto"/>
          <w:highlight w:val="none"/>
        </w:rPr>
        <w:t>1、设计：光伏发电范围内的光伏、电气、水工、土建等专业的设计工作，包括但不限于屋顶复核及测绘、初步设计、施工图设计以及上述设计所涉及的各项图纸送审工作。</w:t>
      </w:r>
    </w:p>
    <w:p>
      <w:pPr>
        <w:tabs>
          <w:tab w:val="right" w:leader="dot" w:pos="9555"/>
        </w:tabs>
        <w:spacing w:line="360" w:lineRule="auto"/>
        <w:ind w:firstLine="420" w:firstLineChars="200"/>
        <w:jc w:val="left"/>
        <w:rPr>
          <w:rFonts w:ascii="宋体" w:hAnsi="宋体"/>
          <w:color w:val="auto"/>
          <w:highlight w:val="none"/>
        </w:rPr>
      </w:pPr>
      <w:r>
        <w:rPr>
          <w:rFonts w:hint="eastAsia" w:ascii="宋体" w:hAnsi="宋体"/>
          <w:color w:val="auto"/>
          <w:highlight w:val="none"/>
        </w:rPr>
        <w:t>2、发改委备案：包含发改局申请备案请示、项目备案申请、企业投资项目备案、房屋所有权证明、项目公司相关资质文件梳理、出具解决方案（可研报告）等</w:t>
      </w:r>
    </w:p>
    <w:p>
      <w:pPr>
        <w:tabs>
          <w:tab w:val="right" w:leader="dot" w:pos="9555"/>
        </w:tabs>
        <w:spacing w:line="360" w:lineRule="auto"/>
        <w:ind w:firstLine="420" w:firstLineChars="200"/>
        <w:jc w:val="left"/>
        <w:rPr>
          <w:rFonts w:ascii="宋体" w:hAnsi="宋体"/>
          <w:color w:val="auto"/>
          <w:highlight w:val="none"/>
        </w:rPr>
      </w:pPr>
      <w:r>
        <w:rPr>
          <w:rFonts w:hint="eastAsia" w:ascii="宋体" w:hAnsi="宋体"/>
          <w:color w:val="auto"/>
          <w:highlight w:val="none"/>
        </w:rPr>
        <w:t>3、设备：太阳能组件、组串式逆变器、屋顶支架、低压开关柜、交直流电缆、通讯及控制电缆、桥架、接入电气一次及二次设备（根据接入系统方案批复要求）、光伏监控系统、数据及视频采集传输设备（满足智能站控接入要求，数据导入现有监控平台）、消防设备以及各类辅材等所有本工程设计评审要求的设备。</w:t>
      </w:r>
    </w:p>
    <w:p>
      <w:pPr>
        <w:tabs>
          <w:tab w:val="right" w:leader="dot" w:pos="9555"/>
        </w:tabs>
        <w:spacing w:line="360" w:lineRule="auto"/>
        <w:ind w:firstLine="420" w:firstLineChars="200"/>
        <w:jc w:val="left"/>
        <w:rPr>
          <w:rFonts w:ascii="宋体" w:hAnsi="宋体"/>
          <w:color w:val="auto"/>
          <w:highlight w:val="none"/>
        </w:rPr>
      </w:pPr>
      <w:r>
        <w:rPr>
          <w:rFonts w:hint="eastAsia" w:ascii="宋体" w:hAnsi="宋体"/>
          <w:color w:val="auto"/>
          <w:highlight w:val="none"/>
        </w:rPr>
        <w:t>4、土建、安装工程：设备基础工程（含墙地面修复等）；电缆敷设安装工程；防雷接地安装工程；电站系统设备安装工程（根据设计评审要求确定，含现场卸货、吊装、二次搬运、安全文明施工措施费等）；施工范围内的各项设备调试、试验及材料送检并提供相应报告。</w:t>
      </w:r>
    </w:p>
    <w:p>
      <w:pPr>
        <w:tabs>
          <w:tab w:val="right" w:leader="dot" w:pos="9555"/>
        </w:tabs>
        <w:spacing w:line="360" w:lineRule="auto"/>
        <w:ind w:firstLine="420" w:firstLineChars="200"/>
        <w:jc w:val="left"/>
        <w:rPr>
          <w:rFonts w:ascii="宋体" w:hAnsi="宋体"/>
          <w:color w:val="auto"/>
          <w:highlight w:val="none"/>
        </w:rPr>
      </w:pPr>
      <w:r>
        <w:rPr>
          <w:rFonts w:hint="eastAsia" w:ascii="宋体" w:hAnsi="宋体"/>
          <w:color w:val="auto"/>
          <w:highlight w:val="none"/>
        </w:rPr>
        <w:t>5、其他：运维上人楼梯、屋顶运维通道（设置需覆盖所有屋顶电气设备）、屋顶运维永久防护措施、电气设备的标牌及安全标识的采购安装；总包管理费用；质保期内设备的质量保修及维护工作；人员培训；运行手册；专用工具；备品备件。</w:t>
      </w:r>
    </w:p>
    <w:p>
      <w:pPr>
        <w:tabs>
          <w:tab w:val="right" w:leader="dot" w:pos="9555"/>
        </w:tabs>
        <w:spacing w:line="360" w:lineRule="auto"/>
        <w:ind w:firstLine="420" w:firstLineChars="200"/>
        <w:jc w:val="left"/>
        <w:rPr>
          <w:rFonts w:ascii="宋体" w:hAnsi="宋体"/>
          <w:color w:val="auto"/>
          <w:highlight w:val="none"/>
        </w:rPr>
      </w:pPr>
      <w:r>
        <w:rPr>
          <w:rFonts w:hint="eastAsia" w:ascii="宋体" w:hAnsi="宋体"/>
          <w:color w:val="auto"/>
          <w:highlight w:val="none"/>
        </w:rPr>
        <w:t>6、并网申请与接入系统方案：包含并网申请、制定接入系统方案、确认接入系统方案、确认接入电网意见、配合建设单位做好变压器升级工作等</w:t>
      </w:r>
    </w:p>
    <w:p>
      <w:pPr>
        <w:tabs>
          <w:tab w:val="right" w:leader="dot" w:pos="9555"/>
        </w:tabs>
        <w:spacing w:line="360" w:lineRule="auto"/>
        <w:ind w:firstLine="420" w:firstLineChars="200"/>
        <w:jc w:val="left"/>
        <w:rPr>
          <w:rFonts w:ascii="宋体" w:hAnsi="宋体"/>
          <w:color w:val="auto"/>
          <w:highlight w:val="none"/>
        </w:rPr>
      </w:pPr>
      <w:r>
        <w:rPr>
          <w:rFonts w:hint="eastAsia" w:ascii="宋体" w:hAnsi="宋体"/>
          <w:color w:val="auto"/>
          <w:highlight w:val="none"/>
        </w:rPr>
        <w:t>7、</w:t>
      </w:r>
      <w:r>
        <w:rPr>
          <w:rFonts w:ascii="宋体" w:hAnsi="宋体"/>
          <w:color w:val="auto"/>
          <w:highlight w:val="none"/>
        </w:rPr>
        <w:t>工程界限</w:t>
      </w:r>
    </w:p>
    <w:p>
      <w:pPr>
        <w:tabs>
          <w:tab w:val="right" w:leader="dot" w:pos="9555"/>
        </w:tabs>
        <w:spacing w:line="360" w:lineRule="auto"/>
        <w:ind w:firstLine="420" w:firstLineChars="200"/>
        <w:jc w:val="left"/>
        <w:rPr>
          <w:rFonts w:ascii="宋体" w:hAnsi="宋体"/>
          <w:color w:val="auto"/>
          <w:highlight w:val="none"/>
        </w:rPr>
      </w:pPr>
      <w:r>
        <w:rPr>
          <w:rFonts w:ascii="宋体" w:hAnsi="宋体"/>
          <w:color w:val="auto"/>
          <w:highlight w:val="none"/>
        </w:rPr>
        <w:t>本工程</w:t>
      </w:r>
      <w:r>
        <w:rPr>
          <w:rFonts w:hint="eastAsia" w:ascii="宋体" w:hAnsi="宋体"/>
          <w:color w:val="auto"/>
          <w:highlight w:val="none"/>
        </w:rPr>
        <w:t>1</w:t>
      </w:r>
      <w:r>
        <w:rPr>
          <w:rFonts w:ascii="宋体" w:hAnsi="宋体"/>
          <w:color w:val="auto"/>
          <w:highlight w:val="none"/>
        </w:rPr>
        <w:t>.出线并网系统一次设备的设计、采购、施工、调试</w:t>
      </w:r>
      <w:r>
        <w:rPr>
          <w:rFonts w:hint="eastAsia" w:ascii="宋体" w:hAnsi="宋体"/>
          <w:color w:val="auto"/>
          <w:highlight w:val="none"/>
        </w:rPr>
        <w:t>；2</w:t>
      </w:r>
      <w:r>
        <w:rPr>
          <w:rFonts w:ascii="宋体" w:hAnsi="宋体"/>
          <w:color w:val="auto"/>
          <w:highlight w:val="none"/>
        </w:rPr>
        <w:t>.继电保护及自动装置等二次系统的设计、采购、施工、调试</w:t>
      </w:r>
      <w:r>
        <w:rPr>
          <w:rFonts w:hint="eastAsia" w:ascii="宋体" w:hAnsi="宋体"/>
          <w:color w:val="auto"/>
          <w:highlight w:val="none"/>
        </w:rPr>
        <w:t>；3</w:t>
      </w:r>
      <w:r>
        <w:rPr>
          <w:rFonts w:ascii="宋体" w:hAnsi="宋体"/>
          <w:color w:val="auto"/>
          <w:highlight w:val="none"/>
        </w:rPr>
        <w:t>.</w:t>
      </w:r>
      <w:r>
        <w:rPr>
          <w:rFonts w:hint="eastAsia" w:ascii="宋体" w:hAnsi="宋体"/>
          <w:color w:val="auto"/>
          <w:highlight w:val="none"/>
        </w:rPr>
        <w:t>本工程相关防雷设计及施工等均</w:t>
      </w:r>
      <w:r>
        <w:rPr>
          <w:rFonts w:ascii="宋体" w:hAnsi="宋体"/>
          <w:color w:val="auto"/>
          <w:highlight w:val="none"/>
        </w:rPr>
        <w:t>属于投标人的承包范围。</w:t>
      </w:r>
      <w:r>
        <w:rPr>
          <w:rFonts w:hint="eastAsia" w:ascii="宋体" w:hAnsi="宋体"/>
          <w:color w:val="auto"/>
          <w:highlight w:val="none"/>
        </w:rPr>
        <w:t>该项目</w:t>
      </w:r>
      <w:r>
        <w:rPr>
          <w:rFonts w:ascii="宋体" w:hAnsi="宋体"/>
          <w:color w:val="auto"/>
          <w:highlight w:val="none"/>
        </w:rPr>
        <w:t>的施工需符合光伏电站的施工管理要求。</w:t>
      </w:r>
    </w:p>
    <w:p>
      <w:pPr>
        <w:tabs>
          <w:tab w:val="right" w:leader="dot" w:pos="9555"/>
        </w:tabs>
        <w:spacing w:line="360" w:lineRule="auto"/>
        <w:ind w:firstLine="420" w:firstLineChars="200"/>
        <w:jc w:val="left"/>
        <w:rPr>
          <w:rFonts w:ascii="宋体" w:hAnsi="宋体"/>
          <w:color w:val="auto"/>
          <w:highlight w:val="none"/>
        </w:rPr>
      </w:pPr>
      <w:r>
        <w:rPr>
          <w:rFonts w:ascii="宋体" w:hAnsi="宋体"/>
          <w:color w:val="auto"/>
          <w:highlight w:val="none"/>
        </w:rPr>
        <w:t>电站性能试验由投标人</w:t>
      </w:r>
      <w:r>
        <w:rPr>
          <w:rFonts w:hint="eastAsia" w:ascii="宋体" w:hAnsi="宋体"/>
          <w:color w:val="auto"/>
          <w:highlight w:val="none"/>
        </w:rPr>
        <w:t>承担，其试验结果必须通过电力部门验收，满足电力规范要求。</w:t>
      </w:r>
    </w:p>
    <w:p>
      <w:pPr>
        <w:tabs>
          <w:tab w:val="right" w:leader="dot" w:pos="9555"/>
        </w:tabs>
        <w:spacing w:line="360" w:lineRule="auto"/>
        <w:ind w:firstLine="420" w:firstLineChars="200"/>
        <w:jc w:val="left"/>
        <w:rPr>
          <w:rFonts w:ascii="宋体" w:hAnsi="宋体"/>
          <w:color w:val="auto"/>
          <w:highlight w:val="none"/>
        </w:rPr>
      </w:pPr>
      <w:r>
        <w:rPr>
          <w:rFonts w:ascii="宋体" w:hAnsi="宋体"/>
          <w:color w:val="auto"/>
          <w:highlight w:val="none"/>
        </w:rPr>
        <w:t>投标人应按招标人批准的施工组织设计的规划要求，负责在现场设计并修建承包认为需要的任何临时设施</w:t>
      </w:r>
      <w:r>
        <w:rPr>
          <w:rFonts w:hint="eastAsia" w:ascii="宋体" w:hAnsi="宋体"/>
          <w:color w:val="auto"/>
          <w:highlight w:val="none"/>
        </w:rPr>
        <w:t>，</w:t>
      </w:r>
      <w:r>
        <w:rPr>
          <w:rFonts w:ascii="宋体" w:hAnsi="宋体"/>
          <w:color w:val="auto"/>
          <w:highlight w:val="none"/>
        </w:rPr>
        <w:t>并在合同工程竣工或在投标人使用结束时，按招标人的要求拆除</w:t>
      </w:r>
      <w:r>
        <w:rPr>
          <w:rFonts w:hint="eastAsia" w:ascii="宋体" w:hAnsi="宋体"/>
          <w:color w:val="auto"/>
          <w:highlight w:val="none"/>
        </w:rPr>
        <w:t>并恢复原状</w:t>
      </w:r>
      <w:r>
        <w:rPr>
          <w:rFonts w:ascii="宋体" w:hAnsi="宋体"/>
          <w:color w:val="auto"/>
          <w:highlight w:val="none"/>
        </w:rPr>
        <w:t>。</w:t>
      </w:r>
    </w:p>
    <w:bookmarkEnd w:id="99"/>
    <w:p>
      <w:pPr>
        <w:pStyle w:val="3"/>
        <w:snapToGrid w:val="0"/>
        <w:spacing w:before="240" w:after="240" w:line="360" w:lineRule="auto"/>
        <w:rPr>
          <w:rFonts w:cs="仿宋_GB2312"/>
          <w:bCs/>
          <w:color w:val="auto"/>
          <w:sz w:val="24"/>
          <w:highlight w:val="none"/>
        </w:rPr>
      </w:pPr>
      <w:bookmarkStart w:id="100" w:name="_Toc4552"/>
      <w:bookmarkStart w:id="101" w:name="_Toc18486"/>
      <w:bookmarkStart w:id="102" w:name="_Toc24295086"/>
      <w:bookmarkStart w:id="103" w:name="_Toc25392"/>
      <w:bookmarkStart w:id="104" w:name="_Toc12637"/>
      <w:bookmarkStart w:id="105" w:name="_Toc17877"/>
      <w:bookmarkStart w:id="106" w:name="_Toc14951"/>
      <w:bookmarkStart w:id="107" w:name="_Toc32722"/>
      <w:bookmarkStart w:id="108" w:name="_Toc24370257"/>
      <w:r>
        <w:rPr>
          <w:rFonts w:hint="eastAsia" w:cs="仿宋_GB2312"/>
          <w:bCs/>
          <w:color w:val="auto"/>
          <w:sz w:val="24"/>
          <w:highlight w:val="none"/>
        </w:rPr>
        <w:t>四、</w:t>
      </w:r>
      <w:bookmarkEnd w:id="100"/>
      <w:bookmarkEnd w:id="101"/>
      <w:bookmarkEnd w:id="102"/>
      <w:bookmarkEnd w:id="103"/>
      <w:bookmarkEnd w:id="104"/>
      <w:bookmarkEnd w:id="105"/>
      <w:bookmarkEnd w:id="106"/>
      <w:bookmarkEnd w:id="107"/>
      <w:bookmarkEnd w:id="108"/>
      <w:r>
        <w:rPr>
          <w:rFonts w:hint="eastAsia" w:cs="仿宋_GB2312"/>
          <w:bCs/>
          <w:color w:val="auto"/>
          <w:sz w:val="24"/>
          <w:highlight w:val="none"/>
        </w:rPr>
        <w:t>丽水7座站分布式光伏发电站的分布与可用安装面积及暂定装机容量</w:t>
      </w:r>
    </w:p>
    <w:tbl>
      <w:tblPr>
        <w:tblStyle w:val="48"/>
        <w:tblW w:w="8400" w:type="dxa"/>
        <w:tblInd w:w="355" w:type="dxa"/>
        <w:tblLayout w:type="autofit"/>
        <w:tblCellMar>
          <w:top w:w="0" w:type="dxa"/>
          <w:left w:w="108" w:type="dxa"/>
          <w:bottom w:w="0" w:type="dxa"/>
          <w:right w:w="108" w:type="dxa"/>
        </w:tblCellMar>
      </w:tblPr>
      <w:tblGrid>
        <w:gridCol w:w="436"/>
        <w:gridCol w:w="850"/>
        <w:gridCol w:w="1019"/>
        <w:gridCol w:w="1417"/>
        <w:gridCol w:w="1108"/>
        <w:gridCol w:w="851"/>
        <w:gridCol w:w="1302"/>
        <w:gridCol w:w="1417"/>
      </w:tblGrid>
      <w:tr>
        <w:trPr>
          <w:trHeight w:val="480" w:hRule="atLeast"/>
        </w:trPr>
        <w:tc>
          <w:tcPr>
            <w:tcW w:w="4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w:t>
            </w:r>
            <w:r>
              <w:rPr>
                <w:rFonts w:hint="eastAsia" w:ascii="宋体" w:hAnsi="宋体" w:cs="宋体"/>
                <w:b/>
                <w:bCs/>
                <w:color w:val="auto"/>
                <w:kern w:val="0"/>
                <w:sz w:val="20"/>
                <w:szCs w:val="20"/>
                <w:highlight w:val="none"/>
              </w:rPr>
              <w:br w:type="textWrapping"/>
            </w:r>
            <w:r>
              <w:rPr>
                <w:rFonts w:hint="eastAsia" w:ascii="宋体" w:hAnsi="宋体" w:cs="宋体"/>
                <w:b/>
                <w:bCs/>
                <w:color w:val="auto"/>
                <w:kern w:val="0"/>
                <w:sz w:val="20"/>
                <w:szCs w:val="20"/>
                <w:highlight w:val="none"/>
              </w:rPr>
              <w:t>号</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区域</w:t>
            </w:r>
          </w:p>
        </w:tc>
        <w:tc>
          <w:tcPr>
            <w:tcW w:w="101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站名</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变压器属性及功率</w:t>
            </w:r>
          </w:p>
        </w:tc>
        <w:tc>
          <w:tcPr>
            <w:tcW w:w="11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雨棚结构</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装机容量（kw）</w:t>
            </w:r>
          </w:p>
        </w:tc>
        <w:tc>
          <w:tcPr>
            <w:tcW w:w="130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可用安装面积（m2）</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光伏组件</w:t>
            </w:r>
          </w:p>
        </w:tc>
      </w:tr>
      <w:tr>
        <w:tblPrEx>
          <w:tblCellMar>
            <w:top w:w="0" w:type="dxa"/>
            <w:left w:w="108" w:type="dxa"/>
            <w:bottom w:w="0" w:type="dxa"/>
            <w:right w:w="108" w:type="dxa"/>
          </w:tblCellMar>
        </w:tblPrEx>
        <w:trPr>
          <w:trHeight w:val="379" w:hRule="atLeast"/>
        </w:trPr>
        <w:tc>
          <w:tcPr>
            <w:tcW w:w="4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850" w:type="dxa"/>
            <w:vMerge w:val="restart"/>
            <w:tcBorders>
              <w:top w:val="nil"/>
              <w:left w:val="single" w:color="auto" w:sz="4" w:space="0"/>
              <w:right w:val="single" w:color="auto" w:sz="4" w:space="0"/>
            </w:tcBorders>
            <w:noWrap/>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莲都区</w:t>
            </w:r>
          </w:p>
        </w:tc>
        <w:tc>
          <w:tcPr>
            <w:tcW w:w="101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三岩寺</w:t>
            </w:r>
          </w:p>
        </w:tc>
        <w:tc>
          <w:tcPr>
            <w:tcW w:w="1417"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公变</w:t>
            </w:r>
          </w:p>
        </w:tc>
        <w:tc>
          <w:tcPr>
            <w:tcW w:w="1108"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钢结构</w:t>
            </w:r>
          </w:p>
        </w:tc>
        <w:tc>
          <w:tcPr>
            <w:tcW w:w="85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30</w:t>
            </w:r>
          </w:p>
        </w:tc>
        <w:tc>
          <w:tcPr>
            <w:tcW w:w="13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300</w:t>
            </w:r>
          </w:p>
        </w:tc>
        <w:tc>
          <w:tcPr>
            <w:tcW w:w="1417" w:type="dxa"/>
            <w:tcBorders>
              <w:top w:val="nil"/>
              <w:left w:val="nil"/>
              <w:bottom w:val="single" w:color="auto" w:sz="4" w:space="0"/>
              <w:right w:val="single" w:color="auto" w:sz="4" w:space="0"/>
            </w:tcBorders>
          </w:tcPr>
          <w:p>
            <w:pPr>
              <w:widowControl/>
              <w:jc w:val="center"/>
              <w:rPr>
                <w:rFonts w:ascii="宋体" w:hAnsi="宋体" w:cs="宋体"/>
                <w:color w:val="auto"/>
                <w:kern w:val="0"/>
                <w:sz w:val="18"/>
                <w:szCs w:val="18"/>
                <w:highlight w:val="none"/>
              </w:rPr>
            </w:pPr>
            <w:r>
              <w:rPr>
                <w:rFonts w:hint="eastAsia" w:ascii="宋体" w:hAnsi="宋体"/>
                <w:color w:val="auto"/>
                <w:sz w:val="18"/>
                <w:szCs w:val="18"/>
                <w:highlight w:val="none"/>
              </w:rPr>
              <w:t>常规光伏组件</w:t>
            </w:r>
          </w:p>
        </w:tc>
      </w:tr>
      <w:tr>
        <w:tblPrEx>
          <w:tblCellMar>
            <w:top w:w="0" w:type="dxa"/>
            <w:left w:w="108" w:type="dxa"/>
            <w:bottom w:w="0" w:type="dxa"/>
            <w:right w:w="108" w:type="dxa"/>
          </w:tblCellMar>
        </w:tblPrEx>
        <w:trPr>
          <w:trHeight w:val="379" w:hRule="atLeast"/>
        </w:trPr>
        <w:tc>
          <w:tcPr>
            <w:tcW w:w="4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850" w:type="dxa"/>
            <w:vMerge w:val="continue"/>
            <w:tcBorders>
              <w:left w:val="single" w:color="auto" w:sz="4" w:space="0"/>
              <w:right w:val="single" w:color="auto" w:sz="4" w:space="0"/>
            </w:tcBorders>
            <w:vAlign w:val="center"/>
          </w:tcPr>
          <w:p>
            <w:pPr>
              <w:jc w:val="center"/>
              <w:rPr>
                <w:rFonts w:ascii="宋体" w:hAnsi="宋体" w:cs="宋体"/>
                <w:color w:val="auto"/>
                <w:kern w:val="0"/>
                <w:sz w:val="22"/>
                <w:szCs w:val="22"/>
                <w:highlight w:val="none"/>
              </w:rPr>
            </w:pPr>
          </w:p>
        </w:tc>
        <w:tc>
          <w:tcPr>
            <w:tcW w:w="101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城南</w:t>
            </w:r>
          </w:p>
        </w:tc>
        <w:tc>
          <w:tcPr>
            <w:tcW w:w="1417"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自有100</w:t>
            </w:r>
          </w:p>
        </w:tc>
        <w:tc>
          <w:tcPr>
            <w:tcW w:w="1108"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钢混</w:t>
            </w:r>
          </w:p>
        </w:tc>
        <w:tc>
          <w:tcPr>
            <w:tcW w:w="85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80</w:t>
            </w:r>
          </w:p>
        </w:tc>
        <w:tc>
          <w:tcPr>
            <w:tcW w:w="13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800</w:t>
            </w:r>
          </w:p>
        </w:tc>
        <w:tc>
          <w:tcPr>
            <w:tcW w:w="1417" w:type="dxa"/>
            <w:tcBorders>
              <w:top w:val="nil"/>
              <w:left w:val="nil"/>
              <w:bottom w:val="single" w:color="auto" w:sz="4" w:space="0"/>
              <w:right w:val="single" w:color="auto" w:sz="4" w:space="0"/>
            </w:tcBorders>
          </w:tcPr>
          <w:p>
            <w:pPr>
              <w:widowControl/>
              <w:jc w:val="center"/>
              <w:rPr>
                <w:rFonts w:ascii="宋体" w:hAnsi="宋体" w:cs="宋体"/>
                <w:color w:val="auto"/>
                <w:kern w:val="0"/>
                <w:sz w:val="18"/>
                <w:szCs w:val="18"/>
                <w:highlight w:val="none"/>
              </w:rPr>
            </w:pPr>
            <w:r>
              <w:rPr>
                <w:rFonts w:hint="eastAsia" w:ascii="宋体" w:hAnsi="宋体"/>
                <w:color w:val="auto"/>
                <w:sz w:val="18"/>
                <w:szCs w:val="18"/>
                <w:highlight w:val="none"/>
              </w:rPr>
              <w:t>常规光伏组件</w:t>
            </w:r>
          </w:p>
        </w:tc>
      </w:tr>
      <w:tr>
        <w:tblPrEx>
          <w:tblCellMar>
            <w:top w:w="0" w:type="dxa"/>
            <w:left w:w="108" w:type="dxa"/>
            <w:bottom w:w="0" w:type="dxa"/>
            <w:right w:w="108" w:type="dxa"/>
          </w:tblCellMar>
        </w:tblPrEx>
        <w:trPr>
          <w:trHeight w:val="379" w:hRule="atLeast"/>
        </w:trPr>
        <w:tc>
          <w:tcPr>
            <w:tcW w:w="4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850" w:type="dxa"/>
            <w:vMerge w:val="continue"/>
            <w:tcBorders>
              <w:left w:val="single" w:color="auto" w:sz="4" w:space="0"/>
              <w:right w:val="single" w:color="auto" w:sz="4" w:space="0"/>
            </w:tcBorders>
            <w:vAlign w:val="center"/>
          </w:tcPr>
          <w:p>
            <w:pPr>
              <w:jc w:val="center"/>
              <w:rPr>
                <w:rFonts w:ascii="宋体" w:hAnsi="宋体" w:cs="宋体"/>
                <w:color w:val="auto"/>
                <w:kern w:val="0"/>
                <w:sz w:val="22"/>
                <w:szCs w:val="22"/>
                <w:highlight w:val="none"/>
              </w:rPr>
            </w:pPr>
          </w:p>
        </w:tc>
        <w:tc>
          <w:tcPr>
            <w:tcW w:w="101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城北</w:t>
            </w:r>
          </w:p>
        </w:tc>
        <w:tc>
          <w:tcPr>
            <w:tcW w:w="1417"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自有400</w:t>
            </w:r>
          </w:p>
        </w:tc>
        <w:tc>
          <w:tcPr>
            <w:tcW w:w="1108"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钢结构</w:t>
            </w:r>
          </w:p>
        </w:tc>
        <w:tc>
          <w:tcPr>
            <w:tcW w:w="85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w:t>
            </w:r>
          </w:p>
        </w:tc>
        <w:tc>
          <w:tcPr>
            <w:tcW w:w="13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1000</w:t>
            </w:r>
          </w:p>
        </w:tc>
        <w:tc>
          <w:tcPr>
            <w:tcW w:w="1417" w:type="dxa"/>
            <w:tcBorders>
              <w:top w:val="nil"/>
              <w:left w:val="nil"/>
              <w:bottom w:val="single" w:color="auto" w:sz="4" w:space="0"/>
              <w:right w:val="single" w:color="auto" w:sz="4" w:space="0"/>
            </w:tcBorders>
          </w:tcPr>
          <w:p>
            <w:pPr>
              <w:widowControl/>
              <w:jc w:val="center"/>
              <w:rPr>
                <w:rFonts w:ascii="宋体" w:hAnsi="宋体" w:cs="宋体"/>
                <w:color w:val="auto"/>
                <w:kern w:val="0"/>
                <w:sz w:val="18"/>
                <w:szCs w:val="18"/>
                <w:highlight w:val="none"/>
              </w:rPr>
            </w:pPr>
            <w:r>
              <w:rPr>
                <w:rFonts w:hint="eastAsia" w:ascii="宋体" w:hAnsi="宋体"/>
                <w:color w:val="auto"/>
                <w:sz w:val="18"/>
                <w:szCs w:val="18"/>
                <w:highlight w:val="none"/>
              </w:rPr>
              <w:t>常规光伏组件</w:t>
            </w:r>
          </w:p>
        </w:tc>
      </w:tr>
      <w:tr>
        <w:tblPrEx>
          <w:tblCellMar>
            <w:top w:w="0" w:type="dxa"/>
            <w:left w:w="108" w:type="dxa"/>
            <w:bottom w:w="0" w:type="dxa"/>
            <w:right w:w="108" w:type="dxa"/>
          </w:tblCellMar>
        </w:tblPrEx>
        <w:trPr>
          <w:trHeight w:val="379" w:hRule="atLeast"/>
        </w:trPr>
        <w:tc>
          <w:tcPr>
            <w:tcW w:w="4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850" w:type="dxa"/>
            <w:vMerge w:val="continue"/>
            <w:tcBorders>
              <w:left w:val="single" w:color="auto" w:sz="4" w:space="0"/>
              <w:right w:val="single" w:color="auto" w:sz="4" w:space="0"/>
            </w:tcBorders>
            <w:vAlign w:val="center"/>
          </w:tcPr>
          <w:p>
            <w:pPr>
              <w:jc w:val="center"/>
              <w:rPr>
                <w:rFonts w:ascii="宋体" w:hAnsi="宋体" w:cs="宋体"/>
                <w:color w:val="auto"/>
                <w:kern w:val="0"/>
                <w:sz w:val="22"/>
                <w:szCs w:val="22"/>
                <w:highlight w:val="none"/>
              </w:rPr>
            </w:pPr>
          </w:p>
        </w:tc>
        <w:tc>
          <w:tcPr>
            <w:tcW w:w="101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七百秧</w:t>
            </w:r>
          </w:p>
        </w:tc>
        <w:tc>
          <w:tcPr>
            <w:tcW w:w="1417"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自有50</w:t>
            </w:r>
          </w:p>
        </w:tc>
        <w:tc>
          <w:tcPr>
            <w:tcW w:w="1108"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钢混</w:t>
            </w:r>
          </w:p>
        </w:tc>
        <w:tc>
          <w:tcPr>
            <w:tcW w:w="85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40</w:t>
            </w:r>
          </w:p>
        </w:tc>
        <w:tc>
          <w:tcPr>
            <w:tcW w:w="13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400</w:t>
            </w:r>
          </w:p>
        </w:tc>
        <w:tc>
          <w:tcPr>
            <w:tcW w:w="1417" w:type="dxa"/>
            <w:tcBorders>
              <w:top w:val="nil"/>
              <w:left w:val="nil"/>
              <w:bottom w:val="single" w:color="auto" w:sz="4" w:space="0"/>
              <w:right w:val="single" w:color="auto" w:sz="4" w:space="0"/>
            </w:tcBorders>
          </w:tcPr>
          <w:p>
            <w:pPr>
              <w:widowControl/>
              <w:jc w:val="center"/>
              <w:rPr>
                <w:rFonts w:ascii="宋体" w:hAnsi="宋体" w:cs="宋体"/>
                <w:color w:val="auto"/>
                <w:kern w:val="0"/>
                <w:sz w:val="18"/>
                <w:szCs w:val="18"/>
                <w:highlight w:val="none"/>
              </w:rPr>
            </w:pPr>
            <w:r>
              <w:rPr>
                <w:rFonts w:hint="eastAsia" w:ascii="宋体" w:hAnsi="宋体"/>
                <w:color w:val="auto"/>
                <w:sz w:val="18"/>
                <w:szCs w:val="18"/>
                <w:highlight w:val="none"/>
              </w:rPr>
              <w:t>常规光伏组件</w:t>
            </w:r>
          </w:p>
        </w:tc>
      </w:tr>
      <w:tr>
        <w:tblPrEx>
          <w:tblCellMar>
            <w:top w:w="0" w:type="dxa"/>
            <w:left w:w="108" w:type="dxa"/>
            <w:bottom w:w="0" w:type="dxa"/>
            <w:right w:w="108" w:type="dxa"/>
          </w:tblCellMar>
        </w:tblPrEx>
        <w:trPr>
          <w:trHeight w:val="379" w:hRule="atLeast"/>
        </w:trPr>
        <w:tc>
          <w:tcPr>
            <w:tcW w:w="4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850" w:type="dxa"/>
            <w:vMerge w:val="continue"/>
            <w:tcBorders>
              <w:left w:val="single" w:color="auto" w:sz="4" w:space="0"/>
              <w:right w:val="single" w:color="auto" w:sz="4" w:space="0"/>
            </w:tcBorders>
            <w:noWrap/>
            <w:vAlign w:val="center"/>
          </w:tcPr>
          <w:p>
            <w:pPr>
              <w:jc w:val="center"/>
              <w:rPr>
                <w:rFonts w:ascii="宋体" w:hAnsi="宋体" w:cs="宋体"/>
                <w:color w:val="auto"/>
                <w:kern w:val="0"/>
                <w:sz w:val="22"/>
                <w:szCs w:val="22"/>
                <w:highlight w:val="none"/>
              </w:rPr>
            </w:pPr>
          </w:p>
        </w:tc>
        <w:tc>
          <w:tcPr>
            <w:tcW w:w="101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富岭</w:t>
            </w:r>
          </w:p>
        </w:tc>
        <w:tc>
          <w:tcPr>
            <w:tcW w:w="1417"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自有80</w:t>
            </w:r>
          </w:p>
        </w:tc>
        <w:tc>
          <w:tcPr>
            <w:tcW w:w="1108"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钢混</w:t>
            </w:r>
          </w:p>
        </w:tc>
        <w:tc>
          <w:tcPr>
            <w:tcW w:w="85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65</w:t>
            </w:r>
          </w:p>
        </w:tc>
        <w:tc>
          <w:tcPr>
            <w:tcW w:w="13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650</w:t>
            </w:r>
          </w:p>
        </w:tc>
        <w:tc>
          <w:tcPr>
            <w:tcW w:w="1417" w:type="dxa"/>
            <w:tcBorders>
              <w:top w:val="nil"/>
              <w:left w:val="nil"/>
              <w:bottom w:val="single" w:color="auto" w:sz="4" w:space="0"/>
              <w:right w:val="single" w:color="auto" w:sz="4" w:space="0"/>
            </w:tcBorders>
          </w:tcPr>
          <w:p>
            <w:pPr>
              <w:widowControl/>
              <w:jc w:val="center"/>
              <w:rPr>
                <w:rFonts w:ascii="宋体" w:hAnsi="宋体" w:cs="宋体"/>
                <w:color w:val="auto"/>
                <w:kern w:val="0"/>
                <w:sz w:val="18"/>
                <w:szCs w:val="18"/>
                <w:highlight w:val="none"/>
              </w:rPr>
            </w:pPr>
            <w:r>
              <w:rPr>
                <w:rFonts w:hint="eastAsia" w:ascii="宋体" w:hAnsi="宋体"/>
                <w:color w:val="auto"/>
                <w:sz w:val="18"/>
                <w:szCs w:val="18"/>
                <w:highlight w:val="none"/>
              </w:rPr>
              <w:t>常规光伏组件</w:t>
            </w:r>
          </w:p>
        </w:tc>
      </w:tr>
      <w:tr>
        <w:tblPrEx>
          <w:tblCellMar>
            <w:top w:w="0" w:type="dxa"/>
            <w:left w:w="108" w:type="dxa"/>
            <w:bottom w:w="0" w:type="dxa"/>
            <w:right w:w="108" w:type="dxa"/>
          </w:tblCellMar>
        </w:tblPrEx>
        <w:trPr>
          <w:trHeight w:val="379" w:hRule="atLeast"/>
        </w:trPr>
        <w:tc>
          <w:tcPr>
            <w:tcW w:w="4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850" w:type="dxa"/>
            <w:vMerge w:val="continue"/>
            <w:tcBorders>
              <w:left w:val="single" w:color="auto" w:sz="4" w:space="0"/>
              <w:right w:val="single" w:color="auto" w:sz="4" w:space="0"/>
            </w:tcBorders>
            <w:vAlign w:val="center"/>
          </w:tcPr>
          <w:p>
            <w:pPr>
              <w:jc w:val="center"/>
              <w:rPr>
                <w:rFonts w:ascii="宋体" w:hAnsi="宋体" w:cs="宋体"/>
                <w:color w:val="auto"/>
                <w:kern w:val="0"/>
                <w:sz w:val="22"/>
                <w:szCs w:val="22"/>
                <w:highlight w:val="none"/>
              </w:rPr>
            </w:pPr>
          </w:p>
        </w:tc>
        <w:tc>
          <w:tcPr>
            <w:tcW w:w="101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风化</w:t>
            </w:r>
          </w:p>
        </w:tc>
        <w:tc>
          <w:tcPr>
            <w:tcW w:w="1417"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自有30</w:t>
            </w:r>
          </w:p>
        </w:tc>
        <w:tc>
          <w:tcPr>
            <w:tcW w:w="1108"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混凝土</w:t>
            </w:r>
          </w:p>
        </w:tc>
        <w:tc>
          <w:tcPr>
            <w:tcW w:w="85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25</w:t>
            </w:r>
          </w:p>
        </w:tc>
        <w:tc>
          <w:tcPr>
            <w:tcW w:w="13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250</w:t>
            </w:r>
          </w:p>
        </w:tc>
        <w:tc>
          <w:tcPr>
            <w:tcW w:w="1417" w:type="dxa"/>
            <w:tcBorders>
              <w:top w:val="nil"/>
              <w:left w:val="nil"/>
              <w:bottom w:val="single" w:color="auto" w:sz="4" w:space="0"/>
              <w:right w:val="single" w:color="auto" w:sz="4" w:space="0"/>
            </w:tcBorders>
          </w:tcPr>
          <w:p>
            <w:pPr>
              <w:widowControl/>
              <w:jc w:val="center"/>
              <w:rPr>
                <w:rFonts w:ascii="宋体" w:hAnsi="宋体" w:cs="宋体"/>
                <w:color w:val="auto"/>
                <w:kern w:val="0"/>
                <w:sz w:val="18"/>
                <w:szCs w:val="18"/>
                <w:highlight w:val="none"/>
              </w:rPr>
            </w:pPr>
            <w:r>
              <w:rPr>
                <w:rFonts w:hint="eastAsia" w:ascii="宋体" w:hAnsi="宋体"/>
                <w:color w:val="auto"/>
                <w:sz w:val="18"/>
                <w:szCs w:val="18"/>
                <w:highlight w:val="none"/>
              </w:rPr>
              <w:t>常规光伏组件</w:t>
            </w:r>
          </w:p>
        </w:tc>
      </w:tr>
      <w:tr>
        <w:tblPrEx>
          <w:tblCellMar>
            <w:top w:w="0" w:type="dxa"/>
            <w:left w:w="108" w:type="dxa"/>
            <w:bottom w:w="0" w:type="dxa"/>
            <w:right w:w="108" w:type="dxa"/>
          </w:tblCellMar>
        </w:tblPrEx>
        <w:trPr>
          <w:trHeight w:val="379" w:hRule="atLeast"/>
        </w:trPr>
        <w:tc>
          <w:tcPr>
            <w:tcW w:w="4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850" w:type="dxa"/>
            <w:vMerge w:val="continue"/>
            <w:tcBorders>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p>
        </w:tc>
        <w:tc>
          <w:tcPr>
            <w:tcW w:w="101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九里</w:t>
            </w:r>
          </w:p>
        </w:tc>
        <w:tc>
          <w:tcPr>
            <w:tcW w:w="1417"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公变</w:t>
            </w:r>
          </w:p>
        </w:tc>
        <w:tc>
          <w:tcPr>
            <w:tcW w:w="1108"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混凝土</w:t>
            </w:r>
          </w:p>
        </w:tc>
        <w:tc>
          <w:tcPr>
            <w:tcW w:w="85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30</w:t>
            </w:r>
          </w:p>
        </w:tc>
        <w:tc>
          <w:tcPr>
            <w:tcW w:w="13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300</w:t>
            </w:r>
          </w:p>
        </w:tc>
        <w:tc>
          <w:tcPr>
            <w:tcW w:w="1417" w:type="dxa"/>
            <w:tcBorders>
              <w:top w:val="nil"/>
              <w:left w:val="nil"/>
              <w:bottom w:val="single" w:color="auto" w:sz="4" w:space="0"/>
              <w:right w:val="single" w:color="auto" w:sz="4" w:space="0"/>
            </w:tcBorders>
          </w:tcPr>
          <w:p>
            <w:pPr>
              <w:widowControl/>
              <w:jc w:val="center"/>
              <w:rPr>
                <w:rFonts w:ascii="宋体" w:hAnsi="宋体" w:cs="宋体"/>
                <w:color w:val="auto"/>
                <w:kern w:val="0"/>
                <w:sz w:val="18"/>
                <w:szCs w:val="18"/>
                <w:highlight w:val="none"/>
              </w:rPr>
            </w:pPr>
            <w:r>
              <w:rPr>
                <w:rFonts w:hint="eastAsia" w:ascii="宋体" w:hAnsi="宋体"/>
                <w:color w:val="auto"/>
                <w:sz w:val="18"/>
                <w:szCs w:val="18"/>
                <w:highlight w:val="none"/>
              </w:rPr>
              <w:t>常规光伏组件</w:t>
            </w:r>
          </w:p>
        </w:tc>
      </w:tr>
    </w:tbl>
    <w:p>
      <w:pPr>
        <w:pStyle w:val="3"/>
        <w:snapToGrid w:val="0"/>
        <w:spacing w:before="240" w:after="240" w:line="276" w:lineRule="auto"/>
        <w:rPr>
          <w:rFonts w:cs="仿宋_GB2312"/>
          <w:b w:val="0"/>
          <w:bCs/>
          <w:color w:val="auto"/>
          <w:sz w:val="24"/>
          <w:highlight w:val="none"/>
        </w:rPr>
      </w:pPr>
      <w:bookmarkStart w:id="109" w:name="_Toc20436"/>
      <w:bookmarkStart w:id="110" w:name="_Toc24370258"/>
      <w:bookmarkStart w:id="111" w:name="_Toc16470"/>
      <w:bookmarkStart w:id="112" w:name="_Toc22305"/>
      <w:bookmarkStart w:id="113" w:name="_Toc24308"/>
      <w:bookmarkStart w:id="114" w:name="_Toc27353"/>
      <w:bookmarkStart w:id="115" w:name="_Toc21086"/>
      <w:bookmarkStart w:id="116" w:name="_Toc12201"/>
      <w:r>
        <w:rPr>
          <w:rFonts w:hint="eastAsia" w:cs="仿宋_GB2312"/>
          <w:bCs/>
          <w:color w:val="auto"/>
          <w:sz w:val="24"/>
          <w:highlight w:val="none"/>
        </w:rPr>
        <w:t>五、技术要求</w:t>
      </w:r>
      <w:bookmarkEnd w:id="109"/>
      <w:bookmarkEnd w:id="110"/>
      <w:bookmarkEnd w:id="111"/>
      <w:bookmarkEnd w:id="112"/>
      <w:bookmarkEnd w:id="113"/>
      <w:bookmarkEnd w:id="114"/>
      <w:bookmarkEnd w:id="115"/>
      <w:bookmarkEnd w:id="116"/>
    </w:p>
    <w:p>
      <w:pPr>
        <w:snapToGrid w:val="0"/>
        <w:spacing w:line="360" w:lineRule="auto"/>
        <w:rPr>
          <w:rFonts w:ascii="宋体" w:hAnsi="宋体" w:cs="仿宋_GB2312"/>
          <w:color w:val="auto"/>
          <w:szCs w:val="21"/>
          <w:highlight w:val="none"/>
        </w:rPr>
      </w:pPr>
      <w:r>
        <w:rPr>
          <w:rFonts w:ascii="宋体" w:hAnsi="宋体" w:cs="仿宋_GB2312"/>
          <w:color w:val="auto"/>
          <w:szCs w:val="21"/>
          <w:highlight w:val="none"/>
        </w:rPr>
        <w:t>1</w:t>
      </w:r>
      <w:r>
        <w:rPr>
          <w:rFonts w:hint="eastAsia" w:ascii="宋体" w:hAnsi="宋体" w:cs="仿宋_GB2312"/>
          <w:color w:val="auto"/>
          <w:szCs w:val="21"/>
          <w:highlight w:val="none"/>
        </w:rPr>
        <w:t>、总体方案设计</w:t>
      </w:r>
    </w:p>
    <w:p>
      <w:pPr>
        <w:pStyle w:val="154"/>
        <w:spacing w:afterLines="0" w:line="360" w:lineRule="auto"/>
        <w:rPr>
          <w:color w:val="auto"/>
          <w:sz w:val="21"/>
          <w:szCs w:val="21"/>
          <w:highlight w:val="none"/>
        </w:rPr>
      </w:pPr>
      <w:r>
        <w:rPr>
          <w:rFonts w:hint="eastAsia"/>
          <w:color w:val="auto"/>
          <w:sz w:val="21"/>
          <w:szCs w:val="21"/>
          <w:highlight w:val="none"/>
        </w:rPr>
        <w:t>投标人应提供采用图示及文字解释详细阐述的项目总体设计方案。</w:t>
      </w:r>
    </w:p>
    <w:p>
      <w:pPr>
        <w:snapToGrid w:val="0"/>
        <w:spacing w:line="360" w:lineRule="auto"/>
        <w:rPr>
          <w:rFonts w:ascii="宋体" w:hAnsi="宋体" w:cs="仿宋_GB2312"/>
          <w:color w:val="auto"/>
          <w:szCs w:val="21"/>
          <w:highlight w:val="none"/>
        </w:rPr>
      </w:pPr>
      <w:r>
        <w:rPr>
          <w:rFonts w:ascii="宋体" w:hAnsi="宋体" w:cs="仿宋_GB2312"/>
          <w:color w:val="auto"/>
          <w:szCs w:val="21"/>
          <w:highlight w:val="none"/>
        </w:rPr>
        <w:t>2</w:t>
      </w:r>
      <w:r>
        <w:rPr>
          <w:rFonts w:hint="eastAsia" w:ascii="宋体" w:hAnsi="宋体" w:cs="仿宋_GB2312"/>
          <w:color w:val="auto"/>
          <w:szCs w:val="21"/>
          <w:highlight w:val="none"/>
        </w:rPr>
        <w:t>、</w:t>
      </w:r>
      <w:r>
        <w:rPr>
          <w:rFonts w:ascii="宋体" w:hAnsi="宋体" w:cs="仿宋_GB2312"/>
          <w:color w:val="auto"/>
          <w:szCs w:val="21"/>
          <w:highlight w:val="none"/>
        </w:rPr>
        <w:t xml:space="preserve"> </w:t>
      </w:r>
      <w:r>
        <w:rPr>
          <w:rFonts w:hint="eastAsia" w:ascii="宋体" w:hAnsi="宋体" w:cs="仿宋_GB2312"/>
          <w:color w:val="auto"/>
          <w:szCs w:val="21"/>
          <w:highlight w:val="none"/>
        </w:rPr>
        <w:t>屋顶分布式光伏电站建设方案</w:t>
      </w:r>
    </w:p>
    <w:p>
      <w:pPr>
        <w:snapToGrid w:val="0"/>
        <w:spacing w:line="360" w:lineRule="auto"/>
        <w:rPr>
          <w:rFonts w:ascii="宋体" w:hAnsi="宋体" w:cs="仿宋_GB2312"/>
          <w:color w:val="auto"/>
          <w:szCs w:val="21"/>
          <w:highlight w:val="none"/>
        </w:rPr>
      </w:pPr>
      <w:r>
        <w:rPr>
          <w:rFonts w:hint="eastAsia" w:ascii="宋体" w:hAnsi="宋体" w:cs="仿宋_GB2312"/>
          <w:color w:val="auto"/>
          <w:szCs w:val="21"/>
          <w:highlight w:val="none"/>
        </w:rPr>
        <w:t>（1）光伏电站设计</w:t>
      </w:r>
    </w:p>
    <w:p>
      <w:pPr>
        <w:pStyle w:val="154"/>
        <w:spacing w:afterLines="0" w:line="360" w:lineRule="auto"/>
        <w:rPr>
          <w:color w:val="auto"/>
          <w:sz w:val="21"/>
          <w:szCs w:val="21"/>
          <w:highlight w:val="none"/>
        </w:rPr>
      </w:pPr>
      <w:r>
        <w:rPr>
          <w:color w:val="auto"/>
          <w:sz w:val="21"/>
          <w:szCs w:val="21"/>
          <w:highlight w:val="none"/>
        </w:rPr>
        <w:t>1</w:t>
      </w:r>
      <w:r>
        <w:rPr>
          <w:rFonts w:hint="eastAsia"/>
          <w:color w:val="auto"/>
          <w:sz w:val="21"/>
          <w:szCs w:val="21"/>
          <w:highlight w:val="none"/>
        </w:rPr>
        <w:t>）</w:t>
      </w:r>
      <w:r>
        <w:rPr>
          <w:color w:val="auto"/>
          <w:sz w:val="21"/>
          <w:szCs w:val="21"/>
          <w:highlight w:val="none"/>
        </w:rPr>
        <w:t xml:space="preserve"> </w:t>
      </w:r>
      <w:r>
        <w:rPr>
          <w:rFonts w:hint="eastAsia"/>
          <w:color w:val="auto"/>
          <w:sz w:val="21"/>
          <w:szCs w:val="21"/>
          <w:highlight w:val="none"/>
        </w:rPr>
        <w:t>标准与资质要求</w:t>
      </w:r>
    </w:p>
    <w:p>
      <w:pPr>
        <w:pStyle w:val="155"/>
        <w:spacing w:line="360" w:lineRule="auto"/>
        <w:rPr>
          <w:rFonts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rPr>
        <w:t>光伏电站设计、施工应遵循现行国家、行业和地方规范、标准和规程。光伏电站设计图纸应由具备新能源发电设计资质的单位出具。光伏电站设计容量应结合各加油站屋面、配电容量、负荷情况，以零碳为目标优化设计。</w:t>
      </w:r>
    </w:p>
    <w:p>
      <w:pPr>
        <w:pStyle w:val="155"/>
        <w:spacing w:line="360" w:lineRule="auto"/>
        <w:rPr>
          <w:rFonts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rPr>
        <w:t>应遵循的标准与规范包括但不限于：</w:t>
      </w:r>
    </w:p>
    <w:p>
      <w:pPr>
        <w:pStyle w:val="155"/>
        <w:numPr>
          <w:ilvl w:val="0"/>
          <w:numId w:val="19"/>
        </w:numPr>
        <w:spacing w:line="360" w:lineRule="auto"/>
        <w:ind w:firstLineChars="0"/>
        <w:rPr>
          <w:rFonts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rPr>
        <w:t>GB 50797《光伏发电站设计规范》</w:t>
      </w:r>
    </w:p>
    <w:p>
      <w:pPr>
        <w:pStyle w:val="155"/>
        <w:numPr>
          <w:ilvl w:val="0"/>
          <w:numId w:val="19"/>
        </w:numPr>
        <w:spacing w:line="360" w:lineRule="auto"/>
        <w:ind w:firstLineChars="0"/>
        <w:rPr>
          <w:rFonts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rPr>
        <w:t>GB/T 32512《光伏发电站防雷技术要求》</w:t>
      </w:r>
    </w:p>
    <w:p>
      <w:pPr>
        <w:pStyle w:val="155"/>
        <w:numPr>
          <w:ilvl w:val="0"/>
          <w:numId w:val="19"/>
        </w:numPr>
        <w:spacing w:line="360" w:lineRule="auto"/>
        <w:ind w:firstLineChars="0"/>
        <w:rPr>
          <w:rFonts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rPr>
        <w:t>GB/T 50795《光伏发电施工组织设计规范》</w:t>
      </w:r>
    </w:p>
    <w:p>
      <w:pPr>
        <w:pStyle w:val="155"/>
        <w:numPr>
          <w:ilvl w:val="0"/>
          <w:numId w:val="19"/>
        </w:numPr>
        <w:spacing w:line="360" w:lineRule="auto"/>
        <w:ind w:firstLineChars="0"/>
        <w:rPr>
          <w:rFonts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rPr>
        <w:t>GB 50794《光伏发电站施工规范》</w:t>
      </w:r>
    </w:p>
    <w:p>
      <w:pPr>
        <w:pStyle w:val="155"/>
        <w:numPr>
          <w:ilvl w:val="0"/>
          <w:numId w:val="19"/>
        </w:numPr>
        <w:spacing w:line="360" w:lineRule="auto"/>
        <w:ind w:firstLineChars="0"/>
        <w:rPr>
          <w:rFonts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rPr>
        <w:t>GB/T 50796《光伏发电工程验收规范》</w:t>
      </w:r>
    </w:p>
    <w:p>
      <w:pPr>
        <w:pStyle w:val="155"/>
        <w:numPr>
          <w:ilvl w:val="0"/>
          <w:numId w:val="19"/>
        </w:numPr>
        <w:spacing w:line="360" w:lineRule="auto"/>
        <w:ind w:firstLineChars="0"/>
        <w:rPr>
          <w:rFonts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rPr>
        <w:t>中国石化HSSE 管理和工程管理相关标准</w:t>
      </w:r>
    </w:p>
    <w:p>
      <w:pPr>
        <w:pStyle w:val="154"/>
        <w:spacing w:afterLines="0" w:line="360" w:lineRule="auto"/>
        <w:rPr>
          <w:color w:val="auto"/>
          <w:sz w:val="21"/>
          <w:szCs w:val="21"/>
          <w:highlight w:val="none"/>
        </w:rPr>
      </w:pPr>
      <w:r>
        <w:rPr>
          <w:color w:val="auto"/>
          <w:sz w:val="21"/>
          <w:szCs w:val="21"/>
          <w:highlight w:val="none"/>
        </w:rPr>
        <w:t>2</w:t>
      </w:r>
      <w:r>
        <w:rPr>
          <w:rFonts w:hint="eastAsia"/>
          <w:color w:val="auto"/>
          <w:sz w:val="21"/>
          <w:szCs w:val="21"/>
          <w:highlight w:val="none"/>
        </w:rPr>
        <w:t>）主要设备技术要求</w:t>
      </w:r>
    </w:p>
    <w:p>
      <w:pPr>
        <w:pStyle w:val="154"/>
        <w:spacing w:afterLines="0" w:line="360" w:lineRule="auto"/>
        <w:rPr>
          <w:color w:val="auto"/>
          <w:sz w:val="21"/>
          <w:szCs w:val="21"/>
          <w:highlight w:val="none"/>
        </w:rPr>
      </w:pPr>
      <w:r>
        <w:rPr>
          <w:rFonts w:hint="eastAsia"/>
          <w:color w:val="auto"/>
          <w:sz w:val="21"/>
          <w:szCs w:val="21"/>
          <w:highlight w:val="none"/>
        </w:rPr>
        <w:t>光伏电站中的材料、设备、施工必须符合现行国家、行业及工程所在地地方标准和技术规范的要求，并满足以下要求：</w:t>
      </w:r>
    </w:p>
    <w:p>
      <w:pPr>
        <w:pStyle w:val="154"/>
        <w:spacing w:afterLines="0" w:line="360" w:lineRule="auto"/>
        <w:rPr>
          <w:color w:val="auto"/>
          <w:sz w:val="21"/>
          <w:szCs w:val="21"/>
          <w:highlight w:val="none"/>
        </w:rPr>
      </w:pPr>
      <w:r>
        <w:rPr>
          <w:rFonts w:hint="eastAsia"/>
          <w:color w:val="auto"/>
          <w:sz w:val="21"/>
          <w:szCs w:val="21"/>
          <w:highlight w:val="none"/>
        </w:rPr>
        <w:t>1.光伏组件</w:t>
      </w:r>
    </w:p>
    <w:p>
      <w:pPr>
        <w:pStyle w:val="154"/>
        <w:spacing w:afterLines="0" w:line="360" w:lineRule="auto"/>
        <w:rPr>
          <w:color w:val="auto"/>
          <w:sz w:val="21"/>
          <w:szCs w:val="21"/>
          <w:highlight w:val="none"/>
        </w:rPr>
      </w:pPr>
      <w:r>
        <w:rPr>
          <w:rFonts w:hint="eastAsia"/>
          <w:color w:val="auto"/>
          <w:sz w:val="21"/>
          <w:szCs w:val="21"/>
          <w:highlight w:val="none"/>
        </w:rPr>
        <w:t>满足国家强制性标准，组件光电转换最高效率≥20.5%，优先选用单晶硅常规组件。</w:t>
      </w:r>
    </w:p>
    <w:p>
      <w:pPr>
        <w:pStyle w:val="154"/>
        <w:spacing w:afterLines="0" w:line="360" w:lineRule="auto"/>
        <w:rPr>
          <w:color w:val="auto"/>
          <w:sz w:val="21"/>
          <w:szCs w:val="21"/>
          <w:highlight w:val="none"/>
        </w:rPr>
      </w:pPr>
      <w:r>
        <w:rPr>
          <w:rFonts w:hint="eastAsia"/>
          <w:color w:val="auto"/>
          <w:sz w:val="21"/>
          <w:szCs w:val="21"/>
          <w:highlight w:val="none"/>
        </w:rPr>
        <w:t>光伏组件防护等级不低于IP65，</w:t>
      </w:r>
      <w:r>
        <w:rPr>
          <w:color w:val="auto"/>
          <w:sz w:val="21"/>
          <w:szCs w:val="21"/>
          <w:highlight w:val="none"/>
        </w:rPr>
        <w:t>耐火等级达到A级不燃</w:t>
      </w:r>
      <w:r>
        <w:rPr>
          <w:rFonts w:hint="eastAsia"/>
          <w:color w:val="auto"/>
          <w:sz w:val="21"/>
          <w:szCs w:val="21"/>
          <w:highlight w:val="none"/>
        </w:rPr>
        <w:t>结构强度要满足风、雪、检修、积灰等荷载要求。</w:t>
      </w:r>
    </w:p>
    <w:p>
      <w:pPr>
        <w:pStyle w:val="154"/>
        <w:spacing w:afterLines="0" w:line="360" w:lineRule="auto"/>
        <w:rPr>
          <w:color w:val="auto"/>
          <w:sz w:val="21"/>
          <w:szCs w:val="21"/>
          <w:highlight w:val="none"/>
        </w:rPr>
      </w:pPr>
      <w:r>
        <w:rPr>
          <w:rFonts w:hint="eastAsia"/>
          <w:color w:val="auto"/>
          <w:sz w:val="21"/>
          <w:szCs w:val="21"/>
          <w:highlight w:val="none"/>
        </w:rPr>
        <w:t>光伏组件使用寿命≥</w:t>
      </w:r>
      <w:r>
        <w:rPr>
          <w:color w:val="auto"/>
          <w:sz w:val="21"/>
          <w:szCs w:val="21"/>
          <w:highlight w:val="none"/>
        </w:rPr>
        <w:t>25 年，首年衰减</w:t>
      </w:r>
      <w:r>
        <w:rPr>
          <w:rFonts w:hint="eastAsia"/>
          <w:color w:val="auto"/>
          <w:sz w:val="21"/>
          <w:szCs w:val="21"/>
          <w:highlight w:val="none"/>
        </w:rPr>
        <w:t>≤</w:t>
      </w:r>
      <w:r>
        <w:rPr>
          <w:color w:val="auto"/>
          <w:sz w:val="21"/>
          <w:szCs w:val="21"/>
          <w:highlight w:val="none"/>
        </w:rPr>
        <w:t>2%，以后年衰减</w:t>
      </w:r>
      <w:r>
        <w:rPr>
          <w:rFonts w:hint="eastAsia"/>
          <w:color w:val="auto"/>
          <w:sz w:val="21"/>
          <w:szCs w:val="21"/>
          <w:highlight w:val="none"/>
        </w:rPr>
        <w:t>≤</w:t>
      </w:r>
      <w:r>
        <w:rPr>
          <w:color w:val="auto"/>
          <w:sz w:val="21"/>
          <w:szCs w:val="21"/>
          <w:highlight w:val="none"/>
        </w:rPr>
        <w:t>0.55%，25年使用期限内输出功率</w:t>
      </w:r>
      <w:r>
        <w:rPr>
          <w:rFonts w:hint="eastAsia"/>
          <w:color w:val="auto"/>
          <w:sz w:val="21"/>
          <w:szCs w:val="21"/>
          <w:highlight w:val="none"/>
        </w:rPr>
        <w:t>≥</w:t>
      </w:r>
      <w:r>
        <w:rPr>
          <w:color w:val="auto"/>
          <w:sz w:val="21"/>
          <w:szCs w:val="21"/>
          <w:highlight w:val="none"/>
        </w:rPr>
        <w:t>80%的标准功率</w:t>
      </w:r>
      <w:r>
        <w:rPr>
          <w:rFonts w:hint="eastAsia"/>
          <w:color w:val="auto"/>
          <w:sz w:val="21"/>
          <w:szCs w:val="21"/>
          <w:highlight w:val="none"/>
        </w:rPr>
        <w:t>，提供光伏组件质保书，工艺、外观质保≥</w:t>
      </w:r>
      <w:r>
        <w:rPr>
          <w:color w:val="auto"/>
          <w:sz w:val="21"/>
          <w:szCs w:val="21"/>
          <w:highlight w:val="none"/>
        </w:rPr>
        <w:t>10年</w:t>
      </w:r>
      <w:r>
        <w:rPr>
          <w:rFonts w:hint="eastAsia"/>
          <w:color w:val="auto"/>
          <w:sz w:val="21"/>
          <w:szCs w:val="21"/>
          <w:highlight w:val="none"/>
        </w:rPr>
        <w:t>。</w:t>
      </w:r>
    </w:p>
    <w:p>
      <w:pPr>
        <w:pStyle w:val="154"/>
        <w:spacing w:afterLines="0" w:line="360" w:lineRule="auto"/>
        <w:ind w:firstLine="367" w:firstLineChars="175"/>
        <w:rPr>
          <w:color w:val="auto"/>
          <w:sz w:val="21"/>
          <w:szCs w:val="21"/>
          <w:highlight w:val="none"/>
        </w:rPr>
      </w:pPr>
      <w:r>
        <w:rPr>
          <w:color w:val="auto"/>
          <w:sz w:val="21"/>
          <w:szCs w:val="21"/>
          <w:highlight w:val="none"/>
        </w:rPr>
        <w:t>2</w:t>
      </w:r>
      <w:r>
        <w:rPr>
          <w:rFonts w:hint="eastAsia"/>
          <w:color w:val="auto"/>
          <w:sz w:val="21"/>
          <w:szCs w:val="21"/>
          <w:highlight w:val="none"/>
        </w:rPr>
        <w:t>．逆变器</w:t>
      </w:r>
    </w:p>
    <w:p>
      <w:pPr>
        <w:pStyle w:val="154"/>
        <w:spacing w:afterLines="0" w:line="360" w:lineRule="auto"/>
        <w:rPr>
          <w:color w:val="auto"/>
          <w:sz w:val="21"/>
          <w:szCs w:val="21"/>
          <w:highlight w:val="none"/>
        </w:rPr>
      </w:pPr>
      <w:r>
        <w:rPr>
          <w:rFonts w:hint="eastAsia"/>
          <w:color w:val="auto"/>
          <w:sz w:val="21"/>
          <w:szCs w:val="21"/>
          <w:highlight w:val="none"/>
        </w:rPr>
        <w:t>逆变器应满足</w:t>
      </w:r>
      <w:r>
        <w:rPr>
          <w:color w:val="auto"/>
          <w:sz w:val="21"/>
          <w:szCs w:val="21"/>
          <w:highlight w:val="none"/>
        </w:rPr>
        <w:t xml:space="preserve"> NB/T 32004《光伏发电并网逆变器技术规范》要求，最大转换效率</w:t>
      </w:r>
      <w:r>
        <w:rPr>
          <w:rFonts w:hint="eastAsia"/>
          <w:color w:val="auto"/>
          <w:sz w:val="21"/>
          <w:szCs w:val="21"/>
          <w:highlight w:val="none"/>
        </w:rPr>
        <w:t>≥</w:t>
      </w:r>
      <w:r>
        <w:rPr>
          <w:color w:val="auto"/>
          <w:sz w:val="21"/>
          <w:szCs w:val="21"/>
          <w:highlight w:val="none"/>
        </w:rPr>
        <w:t>98.4%</w:t>
      </w:r>
      <w:r>
        <w:rPr>
          <w:rFonts w:hint="eastAsia"/>
          <w:color w:val="auto"/>
          <w:sz w:val="21"/>
          <w:szCs w:val="21"/>
          <w:highlight w:val="none"/>
        </w:rPr>
        <w:t>。</w:t>
      </w:r>
    </w:p>
    <w:p>
      <w:pPr>
        <w:pStyle w:val="154"/>
        <w:spacing w:afterLines="0" w:line="360" w:lineRule="auto"/>
        <w:rPr>
          <w:color w:val="auto"/>
          <w:sz w:val="21"/>
          <w:szCs w:val="21"/>
          <w:highlight w:val="none"/>
        </w:rPr>
      </w:pPr>
      <w:r>
        <w:rPr>
          <w:rFonts w:hint="eastAsia"/>
          <w:color w:val="auto"/>
          <w:sz w:val="21"/>
          <w:szCs w:val="21"/>
          <w:highlight w:val="none"/>
        </w:rPr>
        <w:t>逆变器要带有数据通信功能，能够接入业主单位统一建设的光伏发电分布式能源互联网或者接入接口免费开放。逆变器性能应符合接入电网的相关技术要求，并具备有功功率和无功功率连续可调功能，提供逆变器质保书，逆变器使用寿命≥</w:t>
      </w:r>
      <w:r>
        <w:rPr>
          <w:color w:val="auto"/>
          <w:sz w:val="21"/>
          <w:szCs w:val="21"/>
          <w:highlight w:val="none"/>
        </w:rPr>
        <w:t>10年，质保</w:t>
      </w:r>
      <w:r>
        <w:rPr>
          <w:rFonts w:hint="eastAsia"/>
          <w:color w:val="auto"/>
          <w:sz w:val="21"/>
          <w:szCs w:val="21"/>
          <w:highlight w:val="none"/>
        </w:rPr>
        <w:t>≥</w:t>
      </w:r>
      <w:r>
        <w:rPr>
          <w:color w:val="auto"/>
          <w:sz w:val="21"/>
          <w:szCs w:val="21"/>
          <w:highlight w:val="none"/>
        </w:rPr>
        <w:t>5年</w:t>
      </w:r>
      <w:r>
        <w:rPr>
          <w:rFonts w:hint="eastAsia"/>
          <w:color w:val="auto"/>
          <w:sz w:val="21"/>
          <w:szCs w:val="21"/>
          <w:highlight w:val="none"/>
        </w:rPr>
        <w:t>。</w:t>
      </w:r>
    </w:p>
    <w:p>
      <w:pPr>
        <w:pStyle w:val="154"/>
        <w:spacing w:afterLines="0" w:line="360" w:lineRule="auto"/>
        <w:rPr>
          <w:color w:val="auto"/>
          <w:sz w:val="21"/>
          <w:szCs w:val="21"/>
          <w:highlight w:val="none"/>
        </w:rPr>
      </w:pPr>
      <w:r>
        <w:rPr>
          <w:color w:val="auto"/>
          <w:sz w:val="21"/>
          <w:szCs w:val="21"/>
          <w:highlight w:val="none"/>
        </w:rPr>
        <w:t>逆变器配置容量应与光伏方阵的安装容量相匹配，逆变器允许的最大直流输入功率应不小于其对应的光伏方阵的实际最大直流输出功率光伏发电系统要以逆变器为核心，集成通信模组。</w:t>
      </w:r>
      <w:r>
        <w:rPr>
          <w:rFonts w:hint="eastAsia"/>
          <w:color w:val="auto"/>
          <w:sz w:val="21"/>
          <w:szCs w:val="21"/>
          <w:highlight w:val="none"/>
        </w:rPr>
        <w:t>业主单位</w:t>
      </w:r>
      <w:r>
        <w:rPr>
          <w:color w:val="auto"/>
          <w:sz w:val="21"/>
          <w:szCs w:val="21"/>
          <w:highlight w:val="none"/>
        </w:rPr>
        <w:t>将统一建设光伏发电分布式能源物联网，自动分析光伏发电项目的实际发电量、设备故障等情况</w:t>
      </w:r>
      <w:r>
        <w:rPr>
          <w:rFonts w:hint="eastAsia"/>
          <w:color w:val="auto"/>
          <w:sz w:val="21"/>
          <w:szCs w:val="21"/>
          <w:highlight w:val="none"/>
        </w:rPr>
        <w:t>。</w:t>
      </w:r>
    </w:p>
    <w:p>
      <w:pPr>
        <w:pStyle w:val="154"/>
        <w:spacing w:afterLines="0" w:line="360" w:lineRule="auto"/>
        <w:rPr>
          <w:color w:val="auto"/>
          <w:sz w:val="21"/>
          <w:szCs w:val="21"/>
          <w:highlight w:val="none"/>
        </w:rPr>
      </w:pPr>
      <w:r>
        <w:rPr>
          <w:rFonts w:hint="eastAsia"/>
          <w:color w:val="auto"/>
          <w:sz w:val="21"/>
          <w:szCs w:val="21"/>
          <w:highlight w:val="none"/>
        </w:rPr>
        <w:t>4．并网柜</w:t>
      </w:r>
    </w:p>
    <w:p>
      <w:pPr>
        <w:pStyle w:val="154"/>
        <w:spacing w:afterLines="0" w:line="360" w:lineRule="auto"/>
        <w:rPr>
          <w:color w:val="auto"/>
          <w:sz w:val="21"/>
          <w:szCs w:val="21"/>
          <w:highlight w:val="none"/>
        </w:rPr>
      </w:pPr>
      <w:r>
        <w:rPr>
          <w:color w:val="auto"/>
          <w:sz w:val="21"/>
          <w:szCs w:val="21"/>
          <w:highlight w:val="none"/>
        </w:rPr>
        <w:t>并网柜应满足 GB/T 7251《低压成套开关设备和控制设备》规定并网点应安装易操作、具有明显开断指示、具备开断故障电流能力的断路器</w:t>
      </w:r>
      <w:r>
        <w:rPr>
          <w:rFonts w:hint="eastAsia"/>
          <w:color w:val="auto"/>
          <w:sz w:val="21"/>
          <w:szCs w:val="21"/>
          <w:highlight w:val="none"/>
        </w:rPr>
        <w:t>。</w:t>
      </w:r>
    </w:p>
    <w:p>
      <w:pPr>
        <w:pStyle w:val="154"/>
        <w:spacing w:afterLines="0" w:line="360" w:lineRule="auto"/>
        <w:rPr>
          <w:color w:val="auto"/>
          <w:sz w:val="21"/>
          <w:szCs w:val="21"/>
          <w:highlight w:val="none"/>
        </w:rPr>
      </w:pPr>
      <w:r>
        <w:rPr>
          <w:color w:val="auto"/>
          <w:sz w:val="21"/>
          <w:szCs w:val="21"/>
          <w:highlight w:val="none"/>
        </w:rPr>
        <w:t>断路器可选用塑壳式或万能断路器，根据短路电流水平选择设备开断能力，并需留有一定裕度，应具备电源端与负荷端反接能力</w:t>
      </w:r>
      <w:r>
        <w:rPr>
          <w:rFonts w:hint="eastAsia"/>
          <w:color w:val="auto"/>
          <w:sz w:val="21"/>
          <w:szCs w:val="21"/>
          <w:highlight w:val="none"/>
        </w:rPr>
        <w:t>。</w:t>
      </w:r>
    </w:p>
    <w:p>
      <w:pPr>
        <w:pStyle w:val="154"/>
        <w:spacing w:afterLines="0" w:line="360" w:lineRule="auto"/>
        <w:rPr>
          <w:color w:val="auto"/>
          <w:sz w:val="21"/>
          <w:szCs w:val="21"/>
          <w:highlight w:val="none"/>
        </w:rPr>
      </w:pPr>
      <w:r>
        <w:rPr>
          <w:rFonts w:hint="eastAsia"/>
          <w:color w:val="auto"/>
          <w:sz w:val="21"/>
          <w:szCs w:val="21"/>
          <w:highlight w:val="none"/>
        </w:rPr>
        <w:t>5．光伏支架</w:t>
      </w:r>
    </w:p>
    <w:p>
      <w:pPr>
        <w:pStyle w:val="154"/>
        <w:spacing w:afterLines="0" w:line="360" w:lineRule="auto"/>
        <w:rPr>
          <w:color w:val="auto"/>
          <w:sz w:val="21"/>
          <w:szCs w:val="21"/>
          <w:highlight w:val="none"/>
        </w:rPr>
      </w:pPr>
      <w:r>
        <w:rPr>
          <w:color w:val="auto"/>
          <w:sz w:val="21"/>
          <w:szCs w:val="21"/>
          <w:highlight w:val="none"/>
        </w:rPr>
        <w:t>光伏支架应结合工程实际选用材料、设计结构方案和构架措施</w:t>
      </w:r>
      <w:r>
        <w:rPr>
          <w:rFonts w:hint="eastAsia"/>
          <w:color w:val="auto"/>
          <w:sz w:val="21"/>
          <w:szCs w:val="21"/>
          <w:highlight w:val="none"/>
        </w:rPr>
        <w:t>。</w:t>
      </w:r>
      <w:r>
        <w:rPr>
          <w:color w:val="auto"/>
          <w:sz w:val="21"/>
          <w:szCs w:val="21"/>
          <w:highlight w:val="none"/>
        </w:rPr>
        <w:t>据屋顶结构形式及项目当地风载情况，选择特定的支架设计形式。光伏支架可采用钢或铝合金材料，支架应与建筑物主体避雷系统可靠连接</w:t>
      </w:r>
      <w:r>
        <w:rPr>
          <w:rFonts w:hint="eastAsia"/>
          <w:color w:val="auto"/>
          <w:sz w:val="21"/>
          <w:szCs w:val="21"/>
          <w:highlight w:val="none"/>
        </w:rPr>
        <w:t>，光伏板固定件与钢结构彩钢板屋面可靠连接。</w:t>
      </w:r>
    </w:p>
    <w:p>
      <w:pPr>
        <w:pStyle w:val="154"/>
        <w:spacing w:afterLines="0" w:line="360" w:lineRule="auto"/>
        <w:rPr>
          <w:color w:val="auto"/>
          <w:sz w:val="21"/>
          <w:szCs w:val="21"/>
          <w:highlight w:val="none"/>
        </w:rPr>
      </w:pPr>
      <w:r>
        <w:rPr>
          <w:rFonts w:hint="eastAsia"/>
          <w:color w:val="auto"/>
          <w:sz w:val="21"/>
          <w:szCs w:val="21"/>
          <w:highlight w:val="none"/>
        </w:rPr>
        <w:t>6．防雷和接地</w:t>
      </w:r>
    </w:p>
    <w:p>
      <w:pPr>
        <w:pStyle w:val="154"/>
        <w:spacing w:afterLines="0" w:line="360" w:lineRule="auto"/>
        <w:rPr>
          <w:color w:val="auto"/>
          <w:sz w:val="21"/>
          <w:szCs w:val="21"/>
          <w:highlight w:val="none"/>
        </w:rPr>
      </w:pPr>
      <w:r>
        <w:rPr>
          <w:rFonts w:hint="eastAsia"/>
          <w:color w:val="auto"/>
          <w:sz w:val="21"/>
          <w:szCs w:val="21"/>
          <w:highlight w:val="none"/>
        </w:rPr>
        <w:t>光伏发电项目设计应满足GB/T 32512《光伏发电站防雷技术要求》。</w:t>
      </w:r>
    </w:p>
    <w:p>
      <w:pPr>
        <w:pStyle w:val="154"/>
        <w:spacing w:afterLines="0" w:line="360" w:lineRule="auto"/>
        <w:rPr>
          <w:color w:val="auto"/>
          <w:sz w:val="21"/>
          <w:szCs w:val="21"/>
          <w:highlight w:val="none"/>
        </w:rPr>
      </w:pPr>
      <w:r>
        <w:rPr>
          <w:rFonts w:hint="eastAsia"/>
          <w:color w:val="auto"/>
          <w:sz w:val="21"/>
          <w:szCs w:val="21"/>
          <w:highlight w:val="none"/>
        </w:rPr>
        <w:t>电气设备的工作接地、防雷电接地、防静电接地、保护接地及信息系统的接地等共用接地装置，接地电阻不大于4Ω；采用镀锌圆钢或扁钢将光伏组件和支架与原避雷网可靠连接，（因加油站特殊场所，只允许紧固件链接）。并委托第三方出具防雷防静电检测报告。</w:t>
      </w:r>
    </w:p>
    <w:p>
      <w:pPr>
        <w:pStyle w:val="154"/>
        <w:spacing w:afterLines="0" w:line="360" w:lineRule="auto"/>
        <w:rPr>
          <w:rFonts w:ascii="宋体" w:hAnsi="宋体" w:cs="仿宋_GB2312"/>
          <w:color w:val="auto"/>
          <w:szCs w:val="21"/>
          <w:highlight w:val="none"/>
        </w:rPr>
      </w:pPr>
      <w:r>
        <w:rPr>
          <w:rFonts w:hint="eastAsia"/>
          <w:color w:val="auto"/>
          <w:sz w:val="21"/>
          <w:szCs w:val="21"/>
          <w:highlight w:val="none"/>
        </w:rPr>
        <w:t>7．光伏装置应考虑场地荷载情况，待业主确认后方可实行。</w:t>
      </w:r>
      <w:r>
        <w:rPr>
          <w:rFonts w:hint="eastAsia" w:ascii="宋体" w:hAnsi="宋体" w:cs="仿宋_GB2312"/>
          <w:color w:val="auto"/>
          <w:szCs w:val="21"/>
          <w:highlight w:val="none"/>
        </w:rPr>
        <w:t xml:space="preserve"> </w:t>
      </w:r>
    </w:p>
    <w:p>
      <w:pPr>
        <w:pStyle w:val="154"/>
        <w:spacing w:afterLines="0" w:line="360" w:lineRule="auto"/>
        <w:rPr>
          <w:b/>
          <w:color w:val="auto"/>
          <w:sz w:val="21"/>
          <w:szCs w:val="21"/>
          <w:highlight w:val="none"/>
        </w:rPr>
      </w:pPr>
      <w:r>
        <w:rPr>
          <w:rFonts w:hint="eastAsia"/>
          <w:color w:val="auto"/>
          <w:sz w:val="21"/>
          <w:szCs w:val="21"/>
          <w:highlight w:val="none"/>
        </w:rPr>
        <w:t>投标人应提供详细的光伏工程施工组织方案，包括：</w:t>
      </w:r>
    </w:p>
    <w:p>
      <w:pPr>
        <w:pStyle w:val="154"/>
        <w:numPr>
          <w:ilvl w:val="0"/>
          <w:numId w:val="20"/>
        </w:numPr>
        <w:spacing w:afterLines="0" w:line="360" w:lineRule="auto"/>
        <w:ind w:firstLineChars="0"/>
        <w:rPr>
          <w:color w:val="auto"/>
          <w:sz w:val="21"/>
          <w:szCs w:val="21"/>
          <w:highlight w:val="none"/>
        </w:rPr>
      </w:pPr>
      <w:r>
        <w:rPr>
          <w:color w:val="auto"/>
          <w:sz w:val="21"/>
          <w:szCs w:val="21"/>
          <w:highlight w:val="none"/>
        </w:rPr>
        <w:t>施工方案、施工部署</w:t>
      </w:r>
      <w:r>
        <w:rPr>
          <w:rFonts w:hint="eastAsia"/>
          <w:color w:val="auto"/>
          <w:sz w:val="21"/>
          <w:szCs w:val="21"/>
          <w:highlight w:val="none"/>
        </w:rPr>
        <w:t>、现场总平面布置</w:t>
      </w:r>
      <w:r>
        <w:rPr>
          <w:color w:val="auto"/>
          <w:sz w:val="21"/>
          <w:szCs w:val="21"/>
          <w:highlight w:val="none"/>
        </w:rPr>
        <w:t>及现场组织管理机构</w:t>
      </w:r>
    </w:p>
    <w:p>
      <w:pPr>
        <w:pStyle w:val="154"/>
        <w:numPr>
          <w:ilvl w:val="0"/>
          <w:numId w:val="20"/>
        </w:numPr>
        <w:spacing w:afterLines="0" w:line="360" w:lineRule="auto"/>
        <w:ind w:firstLineChars="0"/>
        <w:rPr>
          <w:color w:val="auto"/>
          <w:sz w:val="21"/>
          <w:szCs w:val="21"/>
          <w:highlight w:val="none"/>
        </w:rPr>
      </w:pPr>
      <w:r>
        <w:rPr>
          <w:color w:val="auto"/>
          <w:sz w:val="21"/>
          <w:szCs w:val="21"/>
          <w:highlight w:val="none"/>
        </w:rPr>
        <w:t>施工总进度计划及工期保证措施</w:t>
      </w:r>
    </w:p>
    <w:p>
      <w:pPr>
        <w:pStyle w:val="154"/>
        <w:numPr>
          <w:ilvl w:val="0"/>
          <w:numId w:val="20"/>
        </w:numPr>
        <w:spacing w:afterLines="0" w:line="360" w:lineRule="auto"/>
        <w:ind w:firstLineChars="0"/>
        <w:rPr>
          <w:color w:val="auto"/>
          <w:sz w:val="21"/>
          <w:szCs w:val="21"/>
          <w:highlight w:val="none"/>
        </w:rPr>
      </w:pPr>
      <w:r>
        <w:rPr>
          <w:color w:val="auto"/>
          <w:sz w:val="21"/>
          <w:szCs w:val="21"/>
          <w:highlight w:val="none"/>
        </w:rPr>
        <w:t>施工现场管理人员数量及人员素质</w:t>
      </w:r>
    </w:p>
    <w:p>
      <w:pPr>
        <w:pStyle w:val="154"/>
        <w:numPr>
          <w:ilvl w:val="0"/>
          <w:numId w:val="20"/>
        </w:numPr>
        <w:spacing w:afterLines="0" w:line="360" w:lineRule="auto"/>
        <w:ind w:firstLineChars="0"/>
        <w:rPr>
          <w:color w:val="auto"/>
          <w:sz w:val="21"/>
          <w:szCs w:val="21"/>
          <w:highlight w:val="none"/>
        </w:rPr>
      </w:pPr>
      <w:r>
        <w:rPr>
          <w:color w:val="auto"/>
          <w:sz w:val="21"/>
          <w:szCs w:val="21"/>
          <w:highlight w:val="none"/>
        </w:rPr>
        <w:t>劳动力配备计划及主要材料、构配件供应进度计划</w:t>
      </w:r>
    </w:p>
    <w:p>
      <w:pPr>
        <w:pStyle w:val="154"/>
        <w:numPr>
          <w:ilvl w:val="0"/>
          <w:numId w:val="20"/>
        </w:numPr>
        <w:spacing w:afterLines="0" w:line="360" w:lineRule="auto"/>
        <w:ind w:firstLineChars="0"/>
        <w:rPr>
          <w:color w:val="auto"/>
          <w:sz w:val="21"/>
          <w:szCs w:val="21"/>
          <w:highlight w:val="none"/>
        </w:rPr>
      </w:pPr>
      <w:r>
        <w:rPr>
          <w:color w:val="auto"/>
          <w:sz w:val="21"/>
          <w:szCs w:val="21"/>
          <w:highlight w:val="none"/>
        </w:rPr>
        <w:t>主要分部分项施工方案及技术措施、质量保证体系及控制要点</w:t>
      </w:r>
    </w:p>
    <w:p>
      <w:pPr>
        <w:pStyle w:val="154"/>
        <w:numPr>
          <w:ilvl w:val="0"/>
          <w:numId w:val="20"/>
        </w:numPr>
        <w:spacing w:afterLines="0" w:line="360" w:lineRule="auto"/>
        <w:ind w:firstLineChars="0"/>
        <w:rPr>
          <w:color w:val="auto"/>
          <w:sz w:val="21"/>
          <w:szCs w:val="21"/>
          <w:highlight w:val="none"/>
        </w:rPr>
      </w:pPr>
      <w:r>
        <w:rPr>
          <w:color w:val="auto"/>
          <w:sz w:val="21"/>
          <w:szCs w:val="21"/>
          <w:highlight w:val="none"/>
        </w:rPr>
        <w:t>安全</w:t>
      </w:r>
      <w:r>
        <w:rPr>
          <w:rFonts w:hint="eastAsia"/>
          <w:color w:val="auto"/>
          <w:sz w:val="21"/>
          <w:szCs w:val="21"/>
          <w:highlight w:val="none"/>
        </w:rPr>
        <w:t>生产目标与</w:t>
      </w:r>
      <w:r>
        <w:rPr>
          <w:color w:val="auto"/>
          <w:sz w:val="21"/>
          <w:szCs w:val="21"/>
          <w:highlight w:val="none"/>
        </w:rPr>
        <w:t>保证体系</w:t>
      </w:r>
      <w:r>
        <w:rPr>
          <w:rFonts w:hint="eastAsia"/>
          <w:color w:val="auto"/>
          <w:sz w:val="21"/>
          <w:szCs w:val="21"/>
          <w:highlight w:val="none"/>
        </w:rPr>
        <w:t>、安全施工管理制度、施工安全风险分析</w:t>
      </w:r>
      <w:r>
        <w:rPr>
          <w:color w:val="auto"/>
          <w:sz w:val="21"/>
          <w:szCs w:val="21"/>
          <w:highlight w:val="none"/>
        </w:rPr>
        <w:t>及</w:t>
      </w:r>
      <w:r>
        <w:rPr>
          <w:rFonts w:hint="eastAsia"/>
          <w:color w:val="auto"/>
          <w:sz w:val="21"/>
          <w:szCs w:val="21"/>
          <w:highlight w:val="none"/>
        </w:rPr>
        <w:t>施工</w:t>
      </w:r>
      <w:r>
        <w:rPr>
          <w:color w:val="auto"/>
          <w:sz w:val="21"/>
          <w:szCs w:val="21"/>
          <w:highlight w:val="none"/>
        </w:rPr>
        <w:t>安全</w:t>
      </w:r>
      <w:r>
        <w:rPr>
          <w:rFonts w:hint="eastAsia"/>
          <w:color w:val="auto"/>
          <w:sz w:val="21"/>
          <w:szCs w:val="21"/>
          <w:highlight w:val="none"/>
        </w:rPr>
        <w:t>与防护</w:t>
      </w:r>
      <w:r>
        <w:rPr>
          <w:color w:val="auto"/>
          <w:sz w:val="21"/>
          <w:szCs w:val="21"/>
          <w:highlight w:val="none"/>
        </w:rPr>
        <w:t>措施</w:t>
      </w:r>
    </w:p>
    <w:p>
      <w:pPr>
        <w:pStyle w:val="154"/>
        <w:numPr>
          <w:ilvl w:val="0"/>
          <w:numId w:val="20"/>
        </w:numPr>
        <w:spacing w:afterLines="0" w:line="360" w:lineRule="auto"/>
        <w:ind w:firstLineChars="0"/>
        <w:rPr>
          <w:color w:val="auto"/>
          <w:sz w:val="21"/>
          <w:szCs w:val="21"/>
          <w:highlight w:val="none"/>
        </w:rPr>
      </w:pPr>
      <w:r>
        <w:rPr>
          <w:rFonts w:hint="eastAsia"/>
          <w:color w:val="auto"/>
          <w:sz w:val="21"/>
          <w:szCs w:val="21"/>
          <w:highlight w:val="none"/>
        </w:rPr>
        <w:t>环境保护责任目标、文明施工控制措施及噪音、扬尘、废水、建筑垃圾、废弃物治理及控制措施</w:t>
      </w:r>
    </w:p>
    <w:p>
      <w:pPr>
        <w:pStyle w:val="154"/>
        <w:numPr>
          <w:ilvl w:val="0"/>
          <w:numId w:val="20"/>
        </w:numPr>
        <w:spacing w:afterLines="0" w:line="360" w:lineRule="auto"/>
        <w:ind w:firstLineChars="0"/>
        <w:rPr>
          <w:color w:val="auto"/>
          <w:sz w:val="21"/>
          <w:szCs w:val="21"/>
          <w:highlight w:val="none"/>
        </w:rPr>
      </w:pPr>
      <w:r>
        <w:rPr>
          <w:color w:val="auto"/>
          <w:sz w:val="21"/>
          <w:szCs w:val="21"/>
          <w:highlight w:val="none"/>
        </w:rPr>
        <w:t>现场投入主要机械设备及检测仪器</w:t>
      </w:r>
    </w:p>
    <w:p>
      <w:pPr>
        <w:pStyle w:val="3"/>
        <w:snapToGrid w:val="0"/>
        <w:spacing w:before="240" w:after="240" w:line="360" w:lineRule="auto"/>
        <w:rPr>
          <w:rFonts w:cs="仿宋_GB2312"/>
          <w:b w:val="0"/>
          <w:bCs/>
          <w:color w:val="auto"/>
          <w:highlight w:val="none"/>
        </w:rPr>
      </w:pPr>
      <w:r>
        <w:rPr>
          <w:rFonts w:hint="eastAsia" w:cs="仿宋_GB2312"/>
          <w:bCs/>
          <w:color w:val="auto"/>
          <w:sz w:val="24"/>
          <w:highlight w:val="none"/>
        </w:rPr>
        <w:t>六、现场实施与验收</w:t>
      </w:r>
    </w:p>
    <w:p>
      <w:pPr>
        <w:spacing w:line="360" w:lineRule="auto"/>
        <w:ind w:firstLine="420" w:firstLineChars="200"/>
        <w:rPr>
          <w:rFonts w:ascii="宋体" w:hAnsi="宋体" w:cs="仿宋_GB2312"/>
          <w:color w:val="auto"/>
          <w:highlight w:val="none"/>
        </w:rPr>
      </w:pPr>
      <w:bookmarkStart w:id="117" w:name="_Hlk57887207"/>
      <w:r>
        <w:rPr>
          <w:rFonts w:ascii="宋体" w:hAnsi="宋体" w:cs="仿宋_GB2312"/>
          <w:color w:val="auto"/>
          <w:highlight w:val="none"/>
        </w:rPr>
        <w:t>1</w:t>
      </w:r>
      <w:r>
        <w:rPr>
          <w:rFonts w:hint="eastAsia" w:ascii="宋体" w:hAnsi="宋体" w:cs="仿宋_GB2312"/>
          <w:color w:val="auto"/>
          <w:highlight w:val="none"/>
        </w:rPr>
        <w:t>、</w:t>
      </w:r>
      <w:r>
        <w:rPr>
          <w:rFonts w:ascii="宋体" w:hAnsi="宋体" w:cs="仿宋_GB2312"/>
          <w:color w:val="auto"/>
          <w:highlight w:val="none"/>
        </w:rPr>
        <w:t>国家标准。光伏发电施工与验收可参考 GB 50794《光伏发电站施工规范》、GB/T 50795《光伏发电施工组织设计规范》、GB/T50796《光伏发电工程验收规范》等标准</w:t>
      </w:r>
      <w:r>
        <w:rPr>
          <w:rFonts w:hint="eastAsia" w:ascii="宋体" w:hAnsi="宋体" w:cs="仿宋_GB2312"/>
          <w:color w:val="auto"/>
          <w:highlight w:val="none"/>
        </w:rPr>
        <w:t>；</w:t>
      </w:r>
    </w:p>
    <w:p>
      <w:pPr>
        <w:spacing w:line="360" w:lineRule="auto"/>
        <w:ind w:firstLine="420" w:firstLineChars="200"/>
        <w:rPr>
          <w:rFonts w:ascii="宋体" w:hAnsi="宋体" w:cs="仿宋_GB2312"/>
          <w:color w:val="auto"/>
          <w:highlight w:val="none"/>
        </w:rPr>
      </w:pPr>
      <w:r>
        <w:rPr>
          <w:rFonts w:ascii="宋体" w:hAnsi="宋体" w:cs="仿宋_GB2312"/>
          <w:color w:val="auto"/>
          <w:highlight w:val="none"/>
        </w:rPr>
        <w:t>2</w:t>
      </w:r>
      <w:r>
        <w:rPr>
          <w:rFonts w:hint="eastAsia" w:ascii="宋体" w:hAnsi="宋体" w:cs="仿宋_GB2312"/>
          <w:color w:val="auto"/>
          <w:highlight w:val="none"/>
        </w:rPr>
        <w:t>、施工</w:t>
      </w:r>
      <w:r>
        <w:rPr>
          <w:rFonts w:ascii="宋体" w:hAnsi="宋体" w:cs="仿宋_GB2312"/>
          <w:color w:val="auto"/>
          <w:highlight w:val="none"/>
        </w:rPr>
        <w:t>单位应严格遵守中国石化 HSSE 管理和工程管理相关标准、制度</w:t>
      </w:r>
      <w:r>
        <w:rPr>
          <w:rFonts w:hint="eastAsia" w:ascii="宋体" w:hAnsi="宋体" w:cs="仿宋_GB2312"/>
          <w:color w:val="auto"/>
          <w:highlight w:val="none"/>
        </w:rPr>
        <w:t>。</w:t>
      </w:r>
    </w:p>
    <w:p>
      <w:pPr>
        <w:spacing w:line="360" w:lineRule="auto"/>
        <w:ind w:firstLine="420" w:firstLineChars="200"/>
        <w:rPr>
          <w:rFonts w:ascii="宋体" w:hAnsi="宋体" w:cs="仿宋_GB2312"/>
          <w:color w:val="auto"/>
          <w:highlight w:val="none"/>
        </w:rPr>
      </w:pPr>
      <w:r>
        <w:rPr>
          <w:rFonts w:hint="eastAsia" w:ascii="宋体" w:hAnsi="宋体" w:cs="仿宋_GB2312"/>
          <w:color w:val="auto"/>
          <w:highlight w:val="none"/>
        </w:rPr>
        <w:t>3、</w:t>
      </w:r>
      <w:r>
        <w:rPr>
          <w:rFonts w:hint="eastAsia" w:ascii="宋体" w:hAnsi="宋体"/>
          <w:color w:val="auto"/>
          <w:szCs w:val="21"/>
          <w:highlight w:val="none"/>
        </w:rPr>
        <w:t>钢结构罩棚屋面作业时必须做好铺设牢固的走道板和设置生命绳等安全防护措施，一律不得直接在屋面轻质型材上通行，光伏板不得在钢结构罩棚屋面集中堆放。</w:t>
      </w:r>
      <w:r>
        <w:rPr>
          <w:rFonts w:ascii="宋体" w:hAnsi="宋体" w:cs="仿宋_GB2312"/>
          <w:color w:val="auto"/>
          <w:highlight w:val="none"/>
        </w:rPr>
        <w:t xml:space="preserve"> </w:t>
      </w:r>
    </w:p>
    <w:p>
      <w:pPr>
        <w:spacing w:line="360" w:lineRule="auto"/>
        <w:ind w:firstLine="482" w:firstLineChars="200"/>
        <w:jc w:val="center"/>
        <w:rPr>
          <w:rFonts w:cs="仿宋_GB2312"/>
          <w:b/>
          <w:color w:val="auto"/>
          <w:sz w:val="24"/>
          <w:highlight w:val="none"/>
        </w:rPr>
      </w:pPr>
    </w:p>
    <w:p>
      <w:pPr>
        <w:spacing w:line="360" w:lineRule="auto"/>
        <w:ind w:firstLine="482" w:firstLineChars="200"/>
        <w:jc w:val="center"/>
        <w:rPr>
          <w:rFonts w:cs="仿宋_GB2312"/>
          <w:b/>
          <w:color w:val="auto"/>
          <w:sz w:val="24"/>
          <w:highlight w:val="none"/>
        </w:rPr>
      </w:pPr>
      <w:r>
        <w:rPr>
          <w:rFonts w:hint="eastAsia" w:cs="仿宋_GB2312"/>
          <w:b/>
          <w:color w:val="auto"/>
          <w:sz w:val="24"/>
          <w:highlight w:val="none"/>
        </w:rPr>
        <w:t>七、供货</w:t>
      </w:r>
    </w:p>
    <w:p>
      <w:pPr>
        <w:spacing w:line="360" w:lineRule="auto"/>
        <w:ind w:firstLine="420" w:firstLineChars="200"/>
        <w:rPr>
          <w:rFonts w:ascii="宋体" w:hAnsi="宋体" w:cs="仿宋_GB2312"/>
          <w:color w:val="auto"/>
          <w:highlight w:val="none"/>
        </w:rPr>
      </w:pPr>
      <w:r>
        <w:rPr>
          <w:rFonts w:hint="eastAsia" w:ascii="宋体" w:hAnsi="宋体" w:cs="仿宋_GB2312"/>
          <w:color w:val="auto"/>
          <w:highlight w:val="none"/>
        </w:rPr>
        <w:t>投标人提供到货时间应严格遵循合同中规定的到货时间。</w:t>
      </w:r>
    </w:p>
    <w:p>
      <w:pPr>
        <w:spacing w:line="360" w:lineRule="auto"/>
        <w:rPr>
          <w:rFonts w:ascii="宋体" w:hAnsi="宋体" w:cs="仿宋_GB2312"/>
          <w:color w:val="auto"/>
          <w:highlight w:val="none"/>
        </w:rPr>
      </w:pPr>
      <w:r>
        <w:rPr>
          <w:rFonts w:ascii="宋体" w:hAnsi="宋体" w:cs="仿宋_GB2312"/>
          <w:color w:val="auto"/>
          <w:highlight w:val="none"/>
        </w:rPr>
        <w:t>1</w:t>
      </w:r>
      <w:r>
        <w:rPr>
          <w:rFonts w:hint="eastAsia" w:ascii="宋体" w:hAnsi="宋体" w:cs="仿宋_GB2312"/>
          <w:color w:val="auto"/>
          <w:highlight w:val="none"/>
        </w:rPr>
        <w:t>、供货内容</w:t>
      </w:r>
    </w:p>
    <w:tbl>
      <w:tblPr>
        <w:tblStyle w:val="48"/>
        <w:tblW w:w="875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551"/>
        <w:gridCol w:w="1418"/>
        <w:gridCol w:w="1276"/>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46" w:type="dxa"/>
            <w:vAlign w:val="center"/>
          </w:tcPr>
          <w:p>
            <w:pPr>
              <w:widowControl/>
              <w:rPr>
                <w:rFonts w:ascii="宋体" w:hAnsi="宋体"/>
                <w:bCs/>
                <w:color w:val="auto"/>
                <w:kern w:val="0"/>
                <w:szCs w:val="28"/>
                <w:highlight w:val="none"/>
              </w:rPr>
            </w:pPr>
            <w:r>
              <w:rPr>
                <w:rFonts w:hint="eastAsia" w:ascii="宋体" w:hAnsi="宋体"/>
                <w:bCs/>
                <w:color w:val="auto"/>
                <w:kern w:val="0"/>
                <w:szCs w:val="28"/>
                <w:highlight w:val="none"/>
              </w:rPr>
              <w:t>序号</w:t>
            </w:r>
          </w:p>
        </w:tc>
        <w:tc>
          <w:tcPr>
            <w:tcW w:w="2551" w:type="dxa"/>
            <w:vAlign w:val="center"/>
          </w:tcPr>
          <w:p>
            <w:pPr>
              <w:widowControl/>
              <w:rPr>
                <w:rFonts w:ascii="宋体" w:hAnsi="宋体"/>
                <w:bCs/>
                <w:color w:val="auto"/>
                <w:kern w:val="0"/>
                <w:szCs w:val="28"/>
                <w:highlight w:val="none"/>
              </w:rPr>
            </w:pPr>
            <w:r>
              <w:rPr>
                <w:rFonts w:hint="eastAsia" w:ascii="宋体" w:hAnsi="宋体"/>
                <w:bCs/>
                <w:color w:val="auto"/>
                <w:kern w:val="0"/>
                <w:szCs w:val="28"/>
                <w:highlight w:val="none"/>
              </w:rPr>
              <w:t>名称</w:t>
            </w:r>
          </w:p>
        </w:tc>
        <w:tc>
          <w:tcPr>
            <w:tcW w:w="1418" w:type="dxa"/>
            <w:vAlign w:val="center"/>
          </w:tcPr>
          <w:p>
            <w:pPr>
              <w:widowControl/>
              <w:jc w:val="center"/>
              <w:rPr>
                <w:rFonts w:ascii="宋体" w:hAnsi="宋体"/>
                <w:bCs/>
                <w:color w:val="auto"/>
                <w:kern w:val="0"/>
                <w:szCs w:val="28"/>
                <w:highlight w:val="none"/>
              </w:rPr>
            </w:pPr>
            <w:r>
              <w:rPr>
                <w:rFonts w:hint="eastAsia" w:ascii="宋体" w:hAnsi="宋体"/>
                <w:bCs/>
                <w:color w:val="auto"/>
                <w:kern w:val="0"/>
                <w:szCs w:val="28"/>
                <w:highlight w:val="none"/>
              </w:rPr>
              <w:t>暂定数量</w:t>
            </w:r>
          </w:p>
        </w:tc>
        <w:tc>
          <w:tcPr>
            <w:tcW w:w="1276" w:type="dxa"/>
            <w:vAlign w:val="center"/>
          </w:tcPr>
          <w:p>
            <w:pPr>
              <w:widowControl/>
              <w:jc w:val="center"/>
              <w:rPr>
                <w:rFonts w:ascii="宋体" w:hAnsi="宋体"/>
                <w:bCs/>
                <w:color w:val="auto"/>
                <w:kern w:val="0"/>
                <w:szCs w:val="28"/>
                <w:highlight w:val="none"/>
              </w:rPr>
            </w:pPr>
            <w:r>
              <w:rPr>
                <w:rFonts w:hint="eastAsia" w:ascii="宋体" w:hAnsi="宋体"/>
                <w:bCs/>
                <w:color w:val="auto"/>
                <w:kern w:val="0"/>
                <w:szCs w:val="28"/>
                <w:highlight w:val="none"/>
              </w:rPr>
              <w:t>单位</w:t>
            </w:r>
          </w:p>
        </w:tc>
        <w:tc>
          <w:tcPr>
            <w:tcW w:w="2664" w:type="dxa"/>
            <w:vAlign w:val="center"/>
          </w:tcPr>
          <w:p>
            <w:pPr>
              <w:widowControl/>
              <w:jc w:val="center"/>
              <w:rPr>
                <w:rFonts w:ascii="宋体" w:hAnsi="宋体"/>
                <w:bCs/>
                <w:color w:val="auto"/>
                <w:kern w:val="0"/>
                <w:szCs w:val="28"/>
                <w:highlight w:val="none"/>
              </w:rPr>
            </w:pPr>
            <w:r>
              <w:rPr>
                <w:rFonts w:hint="eastAsia" w:ascii="宋体" w:hAnsi="宋体"/>
                <w:bCs/>
                <w:color w:val="auto"/>
                <w:kern w:val="0"/>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46" w:type="dxa"/>
            <w:vAlign w:val="center"/>
          </w:tcPr>
          <w:p>
            <w:pPr>
              <w:jc w:val="center"/>
              <w:rPr>
                <w:rFonts w:ascii="宋体" w:hAnsi="宋体"/>
                <w:color w:val="auto"/>
                <w:szCs w:val="28"/>
                <w:highlight w:val="none"/>
              </w:rPr>
            </w:pPr>
            <w:r>
              <w:rPr>
                <w:rFonts w:ascii="宋体" w:hAnsi="宋体"/>
                <w:color w:val="auto"/>
                <w:szCs w:val="28"/>
                <w:highlight w:val="none"/>
              </w:rPr>
              <w:t>1</w:t>
            </w:r>
          </w:p>
        </w:tc>
        <w:tc>
          <w:tcPr>
            <w:tcW w:w="2551" w:type="dxa"/>
            <w:vAlign w:val="center"/>
          </w:tcPr>
          <w:p>
            <w:pPr>
              <w:rPr>
                <w:rFonts w:ascii="宋体" w:hAnsi="宋体"/>
                <w:color w:val="auto"/>
                <w:szCs w:val="28"/>
                <w:highlight w:val="none"/>
              </w:rPr>
            </w:pPr>
            <w:r>
              <w:rPr>
                <w:rFonts w:hint="eastAsia" w:ascii="宋体" w:hAnsi="宋体"/>
                <w:color w:val="auto"/>
                <w:szCs w:val="28"/>
                <w:highlight w:val="none"/>
              </w:rPr>
              <w:t>屋顶分布式光伏电站</w:t>
            </w:r>
          </w:p>
        </w:tc>
        <w:tc>
          <w:tcPr>
            <w:tcW w:w="1418" w:type="dxa"/>
            <w:vAlign w:val="center"/>
          </w:tcPr>
          <w:p>
            <w:pPr>
              <w:jc w:val="center"/>
              <w:rPr>
                <w:rFonts w:ascii="宋体" w:hAnsi="宋体"/>
                <w:color w:val="auto"/>
                <w:szCs w:val="28"/>
                <w:highlight w:val="none"/>
              </w:rPr>
            </w:pPr>
            <w:r>
              <w:rPr>
                <w:rFonts w:hint="eastAsia" w:ascii="宋体" w:hAnsi="宋体"/>
                <w:color w:val="auto"/>
                <w:szCs w:val="28"/>
                <w:highlight w:val="none"/>
              </w:rPr>
              <w:t>0.37</w:t>
            </w:r>
          </w:p>
        </w:tc>
        <w:tc>
          <w:tcPr>
            <w:tcW w:w="1276" w:type="dxa"/>
            <w:vAlign w:val="center"/>
          </w:tcPr>
          <w:p>
            <w:pPr>
              <w:jc w:val="center"/>
              <w:rPr>
                <w:rFonts w:ascii="宋体" w:hAnsi="宋体"/>
                <w:color w:val="auto"/>
                <w:szCs w:val="28"/>
                <w:highlight w:val="none"/>
              </w:rPr>
            </w:pPr>
            <w:r>
              <w:rPr>
                <w:rFonts w:hint="eastAsia" w:ascii="宋体" w:hAnsi="宋体"/>
                <w:color w:val="auto"/>
                <w:szCs w:val="28"/>
                <w:highlight w:val="none"/>
              </w:rPr>
              <w:t>M</w:t>
            </w:r>
            <w:r>
              <w:rPr>
                <w:rFonts w:ascii="宋体" w:hAnsi="宋体"/>
                <w:color w:val="auto"/>
                <w:szCs w:val="28"/>
                <w:highlight w:val="none"/>
              </w:rPr>
              <w:t>W</w:t>
            </w:r>
          </w:p>
        </w:tc>
        <w:tc>
          <w:tcPr>
            <w:tcW w:w="2664" w:type="dxa"/>
            <w:vAlign w:val="center"/>
          </w:tcPr>
          <w:p>
            <w:pPr>
              <w:rPr>
                <w:rFonts w:ascii="宋体" w:hAnsi="宋体"/>
                <w:color w:val="auto"/>
                <w:szCs w:val="28"/>
                <w:highlight w:val="none"/>
              </w:rPr>
            </w:pPr>
            <w:r>
              <w:rPr>
                <w:rFonts w:hint="eastAsia" w:ascii="宋体" w:hAnsi="宋体"/>
                <w:color w:val="auto"/>
                <w:szCs w:val="28"/>
                <w:highlight w:val="none"/>
              </w:rPr>
              <w:t>包含设计、采购、施工、备案及入网等</w:t>
            </w:r>
          </w:p>
        </w:tc>
      </w:tr>
    </w:tbl>
    <w:p>
      <w:pPr>
        <w:spacing w:line="360" w:lineRule="auto"/>
        <w:rPr>
          <w:rFonts w:ascii="宋体" w:hAnsi="宋体" w:cs="仿宋_GB2312"/>
          <w:color w:val="auto"/>
          <w:szCs w:val="21"/>
          <w:highlight w:val="none"/>
        </w:rPr>
      </w:pPr>
      <w:r>
        <w:rPr>
          <w:rFonts w:ascii="宋体" w:hAnsi="宋体" w:cs="仿宋_GB2312"/>
          <w:color w:val="auto"/>
          <w:szCs w:val="21"/>
          <w:highlight w:val="none"/>
        </w:rPr>
        <w:t>2</w:t>
      </w:r>
      <w:r>
        <w:rPr>
          <w:rFonts w:hint="eastAsia" w:ascii="宋体" w:hAnsi="宋体" w:cs="仿宋_GB2312"/>
          <w:color w:val="auto"/>
          <w:szCs w:val="21"/>
          <w:highlight w:val="none"/>
        </w:rPr>
        <w:t>、主要产品质量要求及品牌选择范围</w:t>
      </w:r>
    </w:p>
    <w:bookmarkEnd w:id="117"/>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投标人应从下表中所列品牌中进行产品选择，并在投标文件商务标中注明；如不选择品牌的，由业主指定，结算时不作调整。</w:t>
      </w:r>
    </w:p>
    <w:p>
      <w:pPr>
        <w:pStyle w:val="154"/>
        <w:spacing w:after="156" w:line="360" w:lineRule="auto"/>
        <w:rPr>
          <w:b/>
          <w:color w:val="auto"/>
          <w:sz w:val="21"/>
          <w:szCs w:val="21"/>
          <w:highlight w:val="none"/>
        </w:rPr>
      </w:pPr>
      <w:r>
        <w:rPr>
          <w:rFonts w:hint="eastAsia"/>
          <w:color w:val="auto"/>
          <w:sz w:val="21"/>
          <w:szCs w:val="21"/>
          <w:highlight w:val="none"/>
        </w:rPr>
        <w:t>列表中产品禁止中标人通过第三方或贸易商采购，中标人必须直接从原厂采购。</w:t>
      </w:r>
    </w:p>
    <w:tbl>
      <w:tblPr>
        <w:tblStyle w:val="4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560"/>
        <w:gridCol w:w="3685"/>
        <w:gridCol w:w="2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Arial"/>
                <w:b/>
                <w:color w:val="auto"/>
                <w:highlight w:val="none"/>
              </w:rPr>
            </w:pPr>
            <w:r>
              <w:rPr>
                <w:rFonts w:hint="eastAsia" w:ascii="宋体" w:hAnsi="宋体" w:cs="Arial"/>
                <w:b/>
                <w:color w:val="auto"/>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Arial"/>
                <w:b/>
                <w:color w:val="auto"/>
                <w:highlight w:val="none"/>
              </w:rPr>
            </w:pPr>
            <w:r>
              <w:rPr>
                <w:rFonts w:hint="eastAsia" w:ascii="宋体" w:hAnsi="宋体" w:cs="Arial"/>
                <w:b/>
                <w:color w:val="auto"/>
                <w:highlight w:val="none"/>
              </w:rPr>
              <w:t>材料名称</w:t>
            </w:r>
          </w:p>
        </w:tc>
        <w:tc>
          <w:tcPr>
            <w:tcW w:w="36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Arial"/>
                <w:b/>
                <w:color w:val="auto"/>
                <w:highlight w:val="none"/>
              </w:rPr>
            </w:pPr>
            <w:r>
              <w:rPr>
                <w:rFonts w:hint="eastAsia" w:ascii="宋体" w:hAnsi="宋体" w:cs="Arial"/>
                <w:b/>
                <w:color w:val="auto"/>
                <w:highlight w:val="none"/>
              </w:rPr>
              <w:t>推荐品牌</w:t>
            </w:r>
          </w:p>
        </w:tc>
        <w:tc>
          <w:tcPr>
            <w:tcW w:w="29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Arial"/>
                <w:b/>
                <w:color w:val="auto"/>
                <w:highlight w:val="none"/>
              </w:rPr>
            </w:pPr>
            <w:r>
              <w:rPr>
                <w:rFonts w:hint="eastAsia" w:ascii="宋体" w:hAnsi="宋体" w:cs="Arial"/>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auto"/>
                <w:highlight w:val="none"/>
              </w:rPr>
            </w:pPr>
            <w:r>
              <w:rPr>
                <w:rFonts w:hint="eastAsia" w:ascii="宋体" w:hAnsi="宋体" w:cs="宋体"/>
                <w:color w:val="auto"/>
                <w:highlight w:val="none"/>
              </w:rPr>
              <w:t>1</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auto"/>
                <w:highlight w:val="none"/>
              </w:rPr>
            </w:pPr>
            <w:r>
              <w:rPr>
                <w:rFonts w:hint="eastAsia" w:ascii="宋体" w:hAnsi="宋体"/>
                <w:color w:val="auto"/>
                <w:highlight w:val="none"/>
              </w:rPr>
              <w:t>常规光伏组件</w:t>
            </w:r>
          </w:p>
        </w:tc>
        <w:tc>
          <w:tcPr>
            <w:tcW w:w="36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auto"/>
                <w:highlight w:val="none"/>
              </w:rPr>
            </w:pPr>
            <w:r>
              <w:rPr>
                <w:rFonts w:hint="eastAsia" w:ascii="宋体" w:hAnsi="宋体" w:cs="宋体"/>
                <w:color w:val="auto"/>
                <w:highlight w:val="none"/>
              </w:rPr>
              <w:t>正泰、天合、晶澳、阿特斯、隆基</w:t>
            </w:r>
          </w:p>
        </w:tc>
        <w:tc>
          <w:tcPr>
            <w:tcW w:w="29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Arial"/>
                <w:b/>
                <w:color w:val="auto"/>
                <w:highlight w:val="none"/>
              </w:rPr>
            </w:pPr>
            <w:r>
              <w:rPr>
                <w:rFonts w:hint="eastAsia" w:ascii="宋体" w:hAnsi="宋体" w:cs="宋体"/>
                <w:color w:val="auto"/>
                <w:highlight w:val="none"/>
              </w:rPr>
              <w:t>组件效率&gt;</w:t>
            </w:r>
            <w:r>
              <w:rPr>
                <w:rFonts w:ascii="宋体" w:hAnsi="宋体" w:cs="宋体"/>
                <w:color w:val="auto"/>
                <w:highlight w:val="none"/>
              </w:rPr>
              <w:t>20</w:t>
            </w:r>
            <w:r>
              <w:rPr>
                <w:rFonts w:hint="eastAsia" w:ascii="宋体" w:hAnsi="宋体" w:cs="宋体"/>
                <w:color w:val="auto"/>
                <w:highlight w:val="none"/>
              </w:rPr>
              <w:t>.5%，质保</w:t>
            </w:r>
            <w:r>
              <w:rPr>
                <w:rFonts w:ascii="宋体" w:hAnsi="宋体" w:cs="宋体"/>
                <w:color w:val="auto"/>
                <w:highlight w:val="none"/>
              </w:rPr>
              <w:t>25</w:t>
            </w:r>
            <w:r>
              <w:rPr>
                <w:rFonts w:hint="eastAsia" w:ascii="宋体" w:hAnsi="宋体" w:cs="宋体"/>
                <w:color w:val="auto"/>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auto"/>
                <w:highlight w:val="none"/>
              </w:rPr>
            </w:pPr>
            <w:r>
              <w:rPr>
                <w:rFonts w:hint="eastAsia" w:ascii="宋体" w:hAnsi="宋体" w:cs="宋体"/>
                <w:color w:val="auto"/>
                <w:highlight w:val="none"/>
              </w:rPr>
              <w:t>2</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auto"/>
                <w:highlight w:val="none"/>
              </w:rPr>
            </w:pPr>
            <w:r>
              <w:rPr>
                <w:rFonts w:hint="eastAsia" w:ascii="宋体" w:hAnsi="宋体" w:cs="宋体"/>
                <w:color w:val="auto"/>
                <w:highlight w:val="none"/>
              </w:rPr>
              <w:t>交、直流电缆</w:t>
            </w:r>
          </w:p>
        </w:tc>
        <w:tc>
          <w:tcPr>
            <w:tcW w:w="3685" w:type="dxa"/>
            <w:tcBorders>
              <w:top w:val="single" w:color="auto" w:sz="4" w:space="0"/>
              <w:left w:val="single" w:color="auto" w:sz="4" w:space="0"/>
              <w:bottom w:val="single" w:color="auto" w:sz="4" w:space="0"/>
              <w:right w:val="single" w:color="auto" w:sz="4" w:space="0"/>
            </w:tcBorders>
            <w:vAlign w:val="center"/>
          </w:tcPr>
          <w:p>
            <w:pPr>
              <w:jc w:val="center"/>
              <w:rPr>
                <w:b/>
                <w:color w:val="auto"/>
                <w:highlight w:val="none"/>
              </w:rPr>
            </w:pPr>
            <w:r>
              <w:rPr>
                <w:rFonts w:hint="eastAsia"/>
                <w:b/>
                <w:color w:val="auto"/>
                <w:highlight w:val="none"/>
              </w:rPr>
              <w:t>正泰、远东、万马、上上、中策</w:t>
            </w:r>
          </w:p>
        </w:tc>
        <w:tc>
          <w:tcPr>
            <w:tcW w:w="2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highlight w:val="none"/>
              </w:rPr>
            </w:pPr>
            <w:r>
              <w:rPr>
                <w:rFonts w:hint="eastAsia" w:ascii="宋体" w:hAnsi="宋体" w:cs="Arial"/>
                <w:color w:val="auto"/>
                <w:highlight w:val="none"/>
              </w:rPr>
              <w:t>铜芯线缆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Arial"/>
                <w:b/>
                <w:color w:val="auto"/>
                <w:highlight w:val="none"/>
              </w:rPr>
            </w:pPr>
            <w:r>
              <w:rPr>
                <w:rFonts w:hint="eastAsia" w:ascii="宋体" w:hAnsi="宋体" w:cs="宋体"/>
                <w:color w:val="auto"/>
                <w:highlight w:val="none"/>
              </w:rPr>
              <w:t>3</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Arial"/>
                <w:color w:val="auto"/>
                <w:highlight w:val="none"/>
              </w:rPr>
            </w:pPr>
            <w:r>
              <w:rPr>
                <w:rFonts w:hint="eastAsia" w:ascii="宋体" w:hAnsi="宋体" w:cs="宋体"/>
                <w:color w:val="auto"/>
                <w:highlight w:val="none"/>
              </w:rPr>
              <w:t>并网光伏逆变器</w:t>
            </w:r>
          </w:p>
        </w:tc>
        <w:tc>
          <w:tcPr>
            <w:tcW w:w="36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
                <w:color w:val="auto"/>
                <w:highlight w:val="none"/>
              </w:rPr>
            </w:pPr>
            <w:r>
              <w:rPr>
                <w:rFonts w:hint="eastAsia"/>
                <w:b/>
                <w:color w:val="auto"/>
                <w:highlight w:val="none"/>
              </w:rPr>
              <w:t>正泰、华为、阳光、锦浪、固德威</w:t>
            </w:r>
          </w:p>
        </w:tc>
        <w:tc>
          <w:tcPr>
            <w:tcW w:w="29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Arial"/>
                <w:color w:val="auto"/>
                <w:highlight w:val="none"/>
              </w:rPr>
            </w:pPr>
          </w:p>
        </w:tc>
      </w:tr>
    </w:tbl>
    <w:p>
      <w:pPr>
        <w:pStyle w:val="3"/>
        <w:snapToGrid w:val="0"/>
        <w:spacing w:before="240" w:after="240" w:line="276" w:lineRule="auto"/>
        <w:rPr>
          <w:rFonts w:cs="仿宋_GB2312"/>
          <w:color w:val="auto"/>
          <w:sz w:val="24"/>
          <w:highlight w:val="none"/>
        </w:rPr>
      </w:pPr>
      <w:r>
        <w:rPr>
          <w:rFonts w:hint="eastAsia" w:cs="仿宋_GB2312"/>
          <w:color w:val="auto"/>
          <w:sz w:val="24"/>
          <w:highlight w:val="none"/>
        </w:rPr>
        <w:t>八、技术服务和培训及技术文件</w:t>
      </w:r>
    </w:p>
    <w:p>
      <w:pPr>
        <w:spacing w:line="360" w:lineRule="auto"/>
        <w:rPr>
          <w:rFonts w:ascii="宋体" w:hAnsi="宋体" w:cs="仿宋_GB2312"/>
          <w:color w:val="auto"/>
          <w:highlight w:val="none"/>
        </w:rPr>
      </w:pPr>
      <w:bookmarkStart w:id="118" w:name="_Hlk57887577"/>
      <w:r>
        <w:rPr>
          <w:rFonts w:ascii="宋体" w:hAnsi="宋体" w:cs="仿宋_GB2312"/>
          <w:color w:val="auto"/>
          <w:highlight w:val="none"/>
        </w:rPr>
        <w:t>1</w:t>
      </w:r>
      <w:r>
        <w:rPr>
          <w:rFonts w:hint="eastAsia" w:ascii="宋体" w:hAnsi="宋体" w:cs="仿宋_GB2312"/>
          <w:color w:val="auto"/>
          <w:highlight w:val="none"/>
        </w:rPr>
        <w:t>、技术服务</w:t>
      </w:r>
    </w:p>
    <w:p>
      <w:pPr>
        <w:spacing w:line="360" w:lineRule="auto"/>
        <w:rPr>
          <w:rFonts w:ascii="宋体" w:hAnsi="宋体" w:cs="仿宋_GB2312"/>
          <w:color w:val="auto"/>
          <w:highlight w:val="none"/>
        </w:rPr>
      </w:pPr>
      <w:r>
        <w:rPr>
          <w:rFonts w:hint="eastAsia" w:ascii="宋体" w:hAnsi="宋体" w:cs="仿宋_GB2312"/>
          <w:color w:val="auto"/>
          <w:highlight w:val="none"/>
        </w:rPr>
        <w:t>（1）安装技术指导</w:t>
      </w:r>
    </w:p>
    <w:p>
      <w:pPr>
        <w:spacing w:line="360" w:lineRule="auto"/>
        <w:ind w:firstLine="420" w:firstLineChars="200"/>
        <w:rPr>
          <w:rFonts w:ascii="宋体" w:hAnsi="宋体" w:cs="仿宋_GB2312"/>
          <w:color w:val="auto"/>
          <w:highlight w:val="none"/>
        </w:rPr>
      </w:pPr>
      <w:r>
        <w:rPr>
          <w:rFonts w:hint="eastAsia" w:ascii="宋体" w:hAnsi="宋体" w:cs="仿宋_GB2312"/>
          <w:color w:val="auto"/>
          <w:highlight w:val="none"/>
        </w:rPr>
        <w:t>1）投标人须负责安装调测的技术指导；</w:t>
      </w:r>
    </w:p>
    <w:p>
      <w:pPr>
        <w:spacing w:line="360" w:lineRule="auto"/>
        <w:ind w:firstLine="420" w:firstLineChars="200"/>
        <w:rPr>
          <w:rFonts w:ascii="宋体" w:hAnsi="宋体" w:cs="仿宋_GB2312"/>
          <w:color w:val="auto"/>
          <w:highlight w:val="none"/>
        </w:rPr>
      </w:pPr>
      <w:r>
        <w:rPr>
          <w:rFonts w:hint="eastAsia" w:ascii="宋体" w:hAnsi="宋体" w:cs="仿宋_GB2312"/>
          <w:color w:val="auto"/>
          <w:highlight w:val="none"/>
        </w:rPr>
        <w:t>2）投标人应派具有丰富实际工作经验的技术人员；</w:t>
      </w:r>
    </w:p>
    <w:p>
      <w:pPr>
        <w:spacing w:line="360" w:lineRule="auto"/>
        <w:ind w:firstLine="420" w:firstLineChars="200"/>
        <w:rPr>
          <w:rFonts w:ascii="宋体" w:hAnsi="宋体" w:cs="仿宋_GB2312"/>
          <w:color w:val="auto"/>
          <w:highlight w:val="none"/>
        </w:rPr>
      </w:pPr>
      <w:r>
        <w:rPr>
          <w:rFonts w:hint="eastAsia" w:ascii="宋体" w:hAnsi="宋体" w:cs="仿宋_GB2312"/>
          <w:color w:val="auto"/>
          <w:highlight w:val="none"/>
        </w:rPr>
        <w:t>3）投标人的技术人员应能指导设备的安装、测试，并对系统质量全面负责。</w:t>
      </w:r>
    </w:p>
    <w:p>
      <w:pPr>
        <w:spacing w:line="360" w:lineRule="auto"/>
        <w:rPr>
          <w:rFonts w:ascii="宋体" w:hAnsi="宋体" w:cs="仿宋_GB2312"/>
          <w:color w:val="auto"/>
          <w:highlight w:val="none"/>
        </w:rPr>
      </w:pPr>
      <w:r>
        <w:rPr>
          <w:rFonts w:hint="eastAsia" w:ascii="宋体" w:hAnsi="宋体" w:cs="仿宋_GB2312"/>
          <w:color w:val="auto"/>
          <w:highlight w:val="none"/>
        </w:rPr>
        <w:t xml:space="preserve">（2）维护支撑服务要求 </w:t>
      </w:r>
    </w:p>
    <w:p>
      <w:pPr>
        <w:spacing w:line="360" w:lineRule="auto"/>
        <w:ind w:firstLine="420" w:firstLineChars="200"/>
        <w:rPr>
          <w:rFonts w:ascii="宋体" w:hAnsi="宋体" w:cs="仿宋_GB2312"/>
          <w:color w:val="auto"/>
          <w:highlight w:val="none"/>
        </w:rPr>
      </w:pPr>
      <w:r>
        <w:rPr>
          <w:rFonts w:hint="eastAsia" w:ascii="宋体" w:hAnsi="宋体" w:cs="仿宋_GB2312"/>
          <w:color w:val="auto"/>
          <w:highlight w:val="none"/>
        </w:rPr>
        <w:t>1）</w:t>
      </w:r>
      <w:bookmarkStart w:id="119" w:name="_Hlk57890393"/>
      <w:r>
        <w:rPr>
          <w:rFonts w:hint="eastAsia" w:ascii="宋体" w:hAnsi="宋体" w:cs="仿宋_GB2312"/>
          <w:color w:val="auto"/>
          <w:highlight w:val="none"/>
        </w:rPr>
        <w:t>维护支撑期间，投标人需建立相关制度，根据需求方的要求保证业务系统的稳定可靠运行；</w:t>
      </w:r>
      <w:bookmarkEnd w:id="119"/>
    </w:p>
    <w:p>
      <w:pPr>
        <w:spacing w:line="360" w:lineRule="auto"/>
        <w:ind w:firstLine="420" w:firstLineChars="200"/>
        <w:rPr>
          <w:rFonts w:ascii="宋体" w:hAnsi="宋体" w:cs="仿宋_GB2312"/>
          <w:color w:val="auto"/>
          <w:highlight w:val="none"/>
        </w:rPr>
      </w:pPr>
      <w:r>
        <w:rPr>
          <w:rFonts w:hint="eastAsia" w:ascii="宋体" w:hAnsi="宋体" w:cs="仿宋_GB2312"/>
          <w:color w:val="auto"/>
          <w:highlight w:val="none"/>
        </w:rPr>
        <w:t>2）故障快速响应与排除：</w:t>
      </w:r>
      <w:bookmarkStart w:id="120" w:name="_Hlk57890366"/>
      <w:r>
        <w:rPr>
          <w:rFonts w:hint="eastAsia" w:ascii="宋体" w:hAnsi="宋体" w:cs="仿宋_GB2312"/>
          <w:color w:val="auto"/>
          <w:highlight w:val="none"/>
        </w:rPr>
        <w:t>建立7×24小时服务热线</w:t>
      </w:r>
      <w:bookmarkEnd w:id="120"/>
      <w:r>
        <w:rPr>
          <w:rFonts w:hint="eastAsia" w:ascii="宋体" w:hAnsi="宋体" w:cs="仿宋_GB2312"/>
          <w:color w:val="auto"/>
          <w:highlight w:val="none"/>
        </w:rPr>
        <w:t>。</w:t>
      </w:r>
    </w:p>
    <w:p>
      <w:pPr>
        <w:spacing w:line="360" w:lineRule="auto"/>
        <w:rPr>
          <w:rFonts w:ascii="宋体" w:hAnsi="宋体" w:cs="仿宋_GB2312"/>
          <w:color w:val="auto"/>
          <w:highlight w:val="none"/>
        </w:rPr>
      </w:pPr>
      <w:r>
        <w:rPr>
          <w:rFonts w:hint="eastAsia" w:ascii="宋体" w:hAnsi="宋体" w:cs="仿宋_GB2312"/>
          <w:color w:val="auto"/>
          <w:highlight w:val="none"/>
        </w:rPr>
        <w:t>（3）售后服务</w:t>
      </w:r>
    </w:p>
    <w:p>
      <w:pPr>
        <w:spacing w:line="360" w:lineRule="auto"/>
        <w:ind w:firstLine="420" w:firstLineChars="200"/>
        <w:rPr>
          <w:rFonts w:ascii="宋体" w:hAnsi="宋体" w:cs="仿宋_GB2312"/>
          <w:color w:val="auto"/>
          <w:highlight w:val="none"/>
        </w:rPr>
      </w:pPr>
      <w:r>
        <w:rPr>
          <w:rFonts w:hint="eastAsia" w:ascii="宋体" w:hAnsi="宋体" w:cs="仿宋_GB2312"/>
          <w:color w:val="auto"/>
          <w:highlight w:val="none"/>
        </w:rPr>
        <w:t>1）维保期要求</w:t>
      </w:r>
    </w:p>
    <w:p>
      <w:pPr>
        <w:spacing w:line="360" w:lineRule="auto"/>
        <w:ind w:firstLine="420" w:firstLineChars="200"/>
        <w:rPr>
          <w:rFonts w:ascii="宋体" w:hAnsi="宋体" w:cs="仿宋_GB2312"/>
          <w:color w:val="auto"/>
          <w:highlight w:val="none"/>
        </w:rPr>
      </w:pPr>
      <w:r>
        <w:rPr>
          <w:rFonts w:hint="eastAsia" w:ascii="宋体" w:hAnsi="宋体" w:cs="仿宋_GB2312"/>
          <w:color w:val="auto"/>
          <w:highlight w:val="none"/>
        </w:rPr>
        <w:t>投标人向招标人提供从最终验收完成之后的</w:t>
      </w:r>
      <w:bookmarkStart w:id="121" w:name="_Hlk57890100"/>
      <w:r>
        <w:rPr>
          <w:rFonts w:hint="eastAsia" w:ascii="宋体" w:hAnsi="宋体" w:cs="仿宋_GB2312"/>
          <w:color w:val="auto"/>
          <w:highlight w:val="none"/>
        </w:rPr>
        <w:t>整套系统</w:t>
      </w:r>
      <w:r>
        <w:rPr>
          <w:rFonts w:ascii="宋体" w:hAnsi="宋体" w:cs="仿宋_GB2312"/>
          <w:color w:val="auto"/>
          <w:highlight w:val="none"/>
        </w:rPr>
        <w:t>24</w:t>
      </w:r>
      <w:r>
        <w:rPr>
          <w:rFonts w:hint="eastAsia" w:ascii="宋体" w:hAnsi="宋体" w:cs="仿宋_GB2312"/>
          <w:color w:val="auto"/>
          <w:highlight w:val="none"/>
        </w:rPr>
        <w:t>个月内免费</w:t>
      </w:r>
      <w:bookmarkStart w:id="122" w:name="_Hlk57890459"/>
      <w:r>
        <w:rPr>
          <w:rFonts w:hint="eastAsia" w:ascii="宋体" w:hAnsi="宋体" w:cs="仿宋_GB2312"/>
          <w:color w:val="auto"/>
          <w:highlight w:val="none"/>
        </w:rPr>
        <w:t>维保和技术支持服务</w:t>
      </w:r>
      <w:bookmarkEnd w:id="121"/>
      <w:bookmarkEnd w:id="122"/>
      <w:r>
        <w:rPr>
          <w:rFonts w:hint="eastAsia" w:ascii="宋体" w:hAnsi="宋体" w:cs="仿宋_GB2312"/>
          <w:color w:val="auto"/>
          <w:highlight w:val="none"/>
        </w:rPr>
        <w:t>。</w:t>
      </w:r>
    </w:p>
    <w:p>
      <w:pPr>
        <w:spacing w:line="360" w:lineRule="auto"/>
        <w:ind w:firstLine="420" w:firstLineChars="200"/>
        <w:rPr>
          <w:rFonts w:ascii="宋体" w:hAnsi="宋体" w:cs="仿宋_GB2312"/>
          <w:color w:val="auto"/>
          <w:highlight w:val="none"/>
        </w:rPr>
      </w:pPr>
      <w:r>
        <w:rPr>
          <w:rFonts w:hint="eastAsia" w:ascii="宋体" w:hAnsi="宋体" w:cs="仿宋_GB2312"/>
          <w:color w:val="auto"/>
          <w:highlight w:val="none"/>
        </w:rPr>
        <w:t>2）维保期内服务要求</w:t>
      </w:r>
    </w:p>
    <w:p>
      <w:pPr>
        <w:spacing w:line="360" w:lineRule="auto"/>
        <w:ind w:firstLine="420" w:firstLineChars="200"/>
        <w:rPr>
          <w:rFonts w:ascii="宋体" w:hAnsi="宋体" w:cs="仿宋_GB2312"/>
          <w:color w:val="auto"/>
          <w:highlight w:val="none"/>
        </w:rPr>
      </w:pPr>
      <w:bookmarkStart w:id="123" w:name="_Hlk57890646"/>
      <w:r>
        <w:rPr>
          <w:rFonts w:hint="eastAsia" w:ascii="宋体" w:hAnsi="宋体" w:cs="仿宋_GB2312"/>
          <w:color w:val="auto"/>
          <w:highlight w:val="none"/>
        </w:rPr>
        <w:t>投标人建立完善技术服务保障体系</w:t>
      </w:r>
      <w:bookmarkEnd w:id="123"/>
      <w:r>
        <w:rPr>
          <w:rFonts w:hint="eastAsia" w:ascii="宋体" w:hAnsi="宋体" w:cs="仿宋_GB2312"/>
          <w:color w:val="auto"/>
          <w:highlight w:val="none"/>
        </w:rPr>
        <w:t>，包括但不限于售后服务体系、运维管理流程方法、应急预案措施和服务承诺等内容。</w:t>
      </w:r>
    </w:p>
    <w:p>
      <w:pPr>
        <w:spacing w:line="360" w:lineRule="auto"/>
        <w:ind w:firstLine="420" w:firstLineChars="200"/>
        <w:rPr>
          <w:rFonts w:ascii="宋体" w:hAnsi="宋体" w:cs="仿宋_GB2312"/>
          <w:color w:val="auto"/>
          <w:highlight w:val="none"/>
        </w:rPr>
      </w:pPr>
      <w:r>
        <w:rPr>
          <w:rFonts w:hint="eastAsia" w:ascii="宋体" w:hAnsi="宋体" w:cs="仿宋_GB2312"/>
          <w:color w:val="auto"/>
          <w:highlight w:val="none"/>
        </w:rPr>
        <w:t>投标人承诺提供7x24技术支持服务，影响招标人业务连续性的故障</w:t>
      </w:r>
      <w:bookmarkStart w:id="124" w:name="_Hlk57885153"/>
      <w:r>
        <w:rPr>
          <w:rFonts w:hint="eastAsia" w:ascii="宋体" w:hAnsi="宋体" w:cs="仿宋_GB2312"/>
          <w:color w:val="auto"/>
          <w:highlight w:val="none"/>
        </w:rPr>
        <w:t>响应时间小于1小时，3小时内恢复解决。</w:t>
      </w:r>
      <w:bookmarkEnd w:id="124"/>
    </w:p>
    <w:p>
      <w:pPr>
        <w:spacing w:line="360" w:lineRule="auto"/>
        <w:ind w:firstLine="420" w:firstLineChars="200"/>
        <w:rPr>
          <w:rFonts w:ascii="宋体" w:hAnsi="宋体" w:cs="仿宋_GB2312"/>
          <w:color w:val="auto"/>
          <w:highlight w:val="none"/>
        </w:rPr>
      </w:pPr>
      <w:r>
        <w:rPr>
          <w:rFonts w:hint="eastAsia" w:ascii="宋体" w:hAnsi="宋体" w:cs="仿宋_GB2312"/>
          <w:color w:val="auto"/>
          <w:highlight w:val="none"/>
        </w:rPr>
        <w:t>3）维保期后的服务要求</w:t>
      </w:r>
    </w:p>
    <w:p>
      <w:pPr>
        <w:spacing w:line="360" w:lineRule="auto"/>
        <w:ind w:firstLine="420" w:firstLineChars="200"/>
        <w:rPr>
          <w:rFonts w:ascii="宋体" w:hAnsi="宋体" w:cs="仿宋_GB2312"/>
          <w:color w:val="auto"/>
          <w:highlight w:val="none"/>
        </w:rPr>
      </w:pPr>
      <w:r>
        <w:rPr>
          <w:rFonts w:hint="eastAsia" w:ascii="宋体" w:hAnsi="宋体" w:cs="仿宋_GB2312"/>
          <w:color w:val="auto"/>
          <w:highlight w:val="none"/>
        </w:rPr>
        <w:t>在招标人购买保修期后同等级的维保服务后，投标人需能够继续提供同样等级的服务响应。</w:t>
      </w:r>
    </w:p>
    <w:p>
      <w:pPr>
        <w:spacing w:line="360" w:lineRule="auto"/>
        <w:rPr>
          <w:rFonts w:ascii="宋体" w:hAnsi="宋体" w:cs="仿宋_GB2312"/>
          <w:color w:val="auto"/>
          <w:highlight w:val="none"/>
        </w:rPr>
      </w:pPr>
      <w:r>
        <w:rPr>
          <w:rFonts w:hint="eastAsia" w:ascii="宋体" w:hAnsi="宋体" w:cs="仿宋_GB2312"/>
          <w:color w:val="auto"/>
          <w:highlight w:val="none"/>
        </w:rPr>
        <w:t>（4）技术文件</w:t>
      </w:r>
    </w:p>
    <w:p>
      <w:pPr>
        <w:spacing w:line="360" w:lineRule="auto"/>
        <w:ind w:firstLine="420" w:firstLineChars="200"/>
        <w:rPr>
          <w:rFonts w:ascii="宋体" w:hAnsi="宋体" w:cs="仿宋_GB2312"/>
          <w:color w:val="auto"/>
          <w:highlight w:val="none"/>
        </w:rPr>
      </w:pPr>
      <w:r>
        <w:rPr>
          <w:rFonts w:hint="eastAsia" w:ascii="宋体" w:hAnsi="宋体" w:cs="仿宋_GB2312"/>
          <w:color w:val="auto"/>
          <w:highlight w:val="none"/>
        </w:rPr>
        <w:t>1）投标人提供的技术文件应包括软件需求规格说明书、系统整体设计说明书、系统整体架构图、测试报告、用户操作手册、光伏电站竣工图。</w:t>
      </w:r>
    </w:p>
    <w:p>
      <w:pPr>
        <w:spacing w:line="360" w:lineRule="auto"/>
        <w:ind w:firstLine="420" w:firstLineChars="200"/>
        <w:rPr>
          <w:rFonts w:ascii="宋体" w:hAnsi="宋体" w:cs="仿宋_GB2312"/>
          <w:color w:val="auto"/>
          <w:highlight w:val="none"/>
        </w:rPr>
      </w:pPr>
      <w:r>
        <w:rPr>
          <w:rFonts w:ascii="宋体" w:hAnsi="宋体" w:cs="仿宋_GB2312"/>
          <w:color w:val="auto"/>
          <w:highlight w:val="none"/>
        </w:rPr>
        <w:t>2</w:t>
      </w:r>
      <w:r>
        <w:rPr>
          <w:rFonts w:hint="eastAsia" w:ascii="宋体" w:hAnsi="宋体" w:cs="仿宋_GB2312"/>
          <w:color w:val="auto"/>
          <w:highlight w:val="none"/>
        </w:rPr>
        <w:t>）项目文档和资料应提供电子文档；</w:t>
      </w:r>
    </w:p>
    <w:p>
      <w:pPr>
        <w:spacing w:line="360" w:lineRule="auto"/>
        <w:rPr>
          <w:rFonts w:ascii="宋体" w:hAnsi="宋体" w:cs="仿宋_GB2312"/>
          <w:color w:val="auto"/>
          <w:highlight w:val="none"/>
        </w:rPr>
      </w:pPr>
      <w:r>
        <w:rPr>
          <w:rFonts w:ascii="宋体" w:hAnsi="宋体" w:cs="仿宋_GB2312"/>
          <w:color w:val="auto"/>
          <w:highlight w:val="none"/>
        </w:rPr>
        <w:t>2</w:t>
      </w:r>
      <w:r>
        <w:rPr>
          <w:rFonts w:hint="eastAsia" w:ascii="宋体" w:hAnsi="宋体" w:cs="仿宋_GB2312"/>
          <w:color w:val="auto"/>
          <w:highlight w:val="none"/>
        </w:rPr>
        <w:t>、技术培训</w:t>
      </w:r>
    </w:p>
    <w:p>
      <w:pPr>
        <w:widowControl/>
        <w:spacing w:line="360" w:lineRule="auto"/>
        <w:ind w:firstLine="420" w:firstLineChars="200"/>
        <w:rPr>
          <w:color w:val="auto"/>
          <w:highlight w:val="none"/>
        </w:rPr>
      </w:pPr>
      <w:r>
        <w:rPr>
          <w:rFonts w:hint="eastAsia"/>
          <w:color w:val="auto"/>
          <w:highlight w:val="none"/>
        </w:rPr>
        <w:t>投标人应根据招标人实际需求提供必要的培训，不另行支付培训费用。</w:t>
      </w:r>
    </w:p>
    <w:p>
      <w:pPr>
        <w:spacing w:line="360" w:lineRule="auto"/>
        <w:ind w:firstLine="420" w:firstLineChars="200"/>
        <w:rPr>
          <w:rFonts w:ascii="宋体" w:hAnsi="宋体" w:cs="仿宋_GB2312"/>
          <w:color w:val="auto"/>
          <w:highlight w:val="none"/>
        </w:rPr>
      </w:pPr>
      <w:r>
        <w:rPr>
          <w:rFonts w:hint="eastAsia" w:ascii="宋体" w:hAnsi="宋体" w:cs="仿宋_GB2312"/>
          <w:color w:val="auto"/>
          <w:highlight w:val="none"/>
        </w:rPr>
        <w:t>包括：</w:t>
      </w:r>
    </w:p>
    <w:p>
      <w:pPr>
        <w:spacing w:line="360" w:lineRule="auto"/>
        <w:ind w:firstLine="420" w:firstLineChars="200"/>
        <w:rPr>
          <w:rFonts w:ascii="宋体" w:hAnsi="宋体" w:cs="仿宋_GB2312"/>
          <w:color w:val="auto"/>
          <w:highlight w:val="none"/>
        </w:rPr>
      </w:pPr>
      <w:r>
        <w:rPr>
          <w:rFonts w:hint="eastAsia" w:ascii="宋体" w:hAnsi="宋体" w:cs="仿宋_GB2312"/>
          <w:color w:val="auto"/>
          <w:highlight w:val="none"/>
        </w:rPr>
        <w:t>系统管理人员培训，包括软硬件培训、使用配置培训、系统维护管理等培训；</w:t>
      </w:r>
    </w:p>
    <w:p>
      <w:pPr>
        <w:spacing w:line="360" w:lineRule="auto"/>
        <w:ind w:firstLine="420" w:firstLineChars="200"/>
        <w:rPr>
          <w:rFonts w:ascii="宋体" w:hAnsi="宋体" w:cs="仿宋_GB2312"/>
          <w:color w:val="auto"/>
          <w:highlight w:val="none"/>
        </w:rPr>
      </w:pPr>
      <w:r>
        <w:rPr>
          <w:rFonts w:hint="eastAsia" w:ascii="宋体" w:hAnsi="宋体" w:cs="仿宋_GB2312"/>
          <w:color w:val="auto"/>
          <w:highlight w:val="none"/>
        </w:rPr>
        <w:t>系统使用人员培训，含结合本系统实际情况的使用培训；</w:t>
      </w:r>
    </w:p>
    <w:p>
      <w:pPr>
        <w:spacing w:line="360" w:lineRule="auto"/>
        <w:ind w:firstLine="420" w:firstLineChars="200"/>
        <w:rPr>
          <w:rFonts w:ascii="宋体" w:hAnsi="宋体" w:cs="仿宋_GB2312"/>
          <w:color w:val="auto"/>
          <w:highlight w:val="none"/>
        </w:rPr>
      </w:pPr>
      <w:r>
        <w:rPr>
          <w:rFonts w:hint="eastAsia" w:ascii="宋体" w:hAnsi="宋体" w:cs="仿宋_GB2312"/>
          <w:color w:val="auto"/>
          <w:highlight w:val="none"/>
        </w:rPr>
        <w:t>光伏发电系统设备操作培训，包括光伏系统培训、光伏设备操作培训、光伏发电系统安全操作培训等；</w:t>
      </w:r>
    </w:p>
    <w:p>
      <w:pPr>
        <w:spacing w:line="360" w:lineRule="auto"/>
        <w:rPr>
          <w:rFonts w:ascii="宋体" w:hAnsi="宋体" w:cs="仿宋_GB2312"/>
          <w:color w:val="auto"/>
          <w:highlight w:val="none"/>
        </w:rPr>
      </w:pPr>
      <w:r>
        <w:rPr>
          <w:rFonts w:hint="eastAsia" w:ascii="宋体" w:hAnsi="宋体" w:cs="仿宋_GB2312"/>
          <w:color w:val="auto"/>
          <w:highlight w:val="none"/>
        </w:rPr>
        <w:t>（1）培训内容</w:t>
      </w:r>
    </w:p>
    <w:p>
      <w:pPr>
        <w:spacing w:line="360" w:lineRule="auto"/>
        <w:ind w:firstLine="420" w:firstLineChars="200"/>
        <w:rPr>
          <w:rFonts w:ascii="宋体" w:hAnsi="宋体" w:cs="仿宋_GB2312"/>
          <w:color w:val="auto"/>
          <w:highlight w:val="none"/>
        </w:rPr>
      </w:pPr>
      <w:r>
        <w:rPr>
          <w:rFonts w:hint="eastAsia" w:ascii="宋体" w:hAnsi="宋体" w:cs="仿宋_GB2312"/>
          <w:color w:val="auto"/>
          <w:highlight w:val="none"/>
        </w:rPr>
        <w:t>1）系统管理培训</w:t>
      </w:r>
    </w:p>
    <w:p>
      <w:pPr>
        <w:spacing w:line="360" w:lineRule="auto"/>
        <w:ind w:firstLine="420" w:firstLineChars="200"/>
        <w:rPr>
          <w:rFonts w:ascii="宋体" w:hAnsi="宋体" w:cs="仿宋_GB2312"/>
          <w:color w:val="auto"/>
          <w:highlight w:val="none"/>
        </w:rPr>
      </w:pPr>
      <w:r>
        <w:rPr>
          <w:rFonts w:hint="eastAsia" w:ascii="宋体" w:hAnsi="宋体" w:cs="仿宋_GB2312"/>
          <w:color w:val="auto"/>
          <w:highlight w:val="none"/>
        </w:rPr>
        <w:t>在系统试运行后，对负责系统系统管理的操作人员进行统一的系统培训，熟悉系统的使用及维护；</w:t>
      </w:r>
    </w:p>
    <w:p>
      <w:pPr>
        <w:spacing w:line="360" w:lineRule="auto"/>
        <w:ind w:firstLine="420" w:firstLineChars="200"/>
        <w:rPr>
          <w:rFonts w:ascii="宋体" w:hAnsi="宋体" w:cs="仿宋_GB2312"/>
          <w:color w:val="auto"/>
          <w:highlight w:val="none"/>
        </w:rPr>
      </w:pPr>
      <w:r>
        <w:rPr>
          <w:rFonts w:ascii="宋体" w:hAnsi="宋体" w:cs="仿宋_GB2312"/>
          <w:color w:val="auto"/>
          <w:highlight w:val="none"/>
        </w:rPr>
        <w:t>2</w:t>
      </w:r>
      <w:r>
        <w:rPr>
          <w:rFonts w:hint="eastAsia" w:ascii="宋体" w:hAnsi="宋体" w:cs="仿宋_GB2312"/>
          <w:color w:val="auto"/>
          <w:highlight w:val="none"/>
        </w:rPr>
        <w:t>）系统维护培训</w:t>
      </w:r>
    </w:p>
    <w:p>
      <w:pPr>
        <w:spacing w:line="360" w:lineRule="auto"/>
        <w:ind w:firstLine="420" w:firstLineChars="200"/>
        <w:rPr>
          <w:rFonts w:ascii="宋体" w:hAnsi="宋体" w:cs="仿宋_GB2312"/>
          <w:color w:val="auto"/>
          <w:highlight w:val="none"/>
        </w:rPr>
      </w:pPr>
      <w:r>
        <w:rPr>
          <w:rFonts w:hint="eastAsia" w:ascii="宋体" w:hAnsi="宋体" w:cs="仿宋_GB2312"/>
          <w:color w:val="auto"/>
          <w:highlight w:val="none"/>
        </w:rPr>
        <w:t>为保证系统管理员对系统的熟练维护，对系统管理员进行整个系统的操作及内部的管理培训。</w:t>
      </w:r>
    </w:p>
    <w:p>
      <w:pPr>
        <w:spacing w:line="360" w:lineRule="auto"/>
        <w:ind w:firstLine="420" w:firstLineChars="200"/>
        <w:rPr>
          <w:rFonts w:ascii="宋体" w:hAnsi="宋体" w:cs="仿宋_GB2312"/>
          <w:color w:val="auto"/>
          <w:highlight w:val="none"/>
        </w:rPr>
      </w:pPr>
      <w:r>
        <w:rPr>
          <w:rFonts w:ascii="宋体" w:hAnsi="宋体" w:cs="仿宋_GB2312"/>
          <w:color w:val="auto"/>
          <w:highlight w:val="none"/>
        </w:rPr>
        <w:t>3</w:t>
      </w:r>
      <w:r>
        <w:rPr>
          <w:rFonts w:hint="eastAsia" w:ascii="宋体" w:hAnsi="宋体" w:cs="仿宋_GB2312"/>
          <w:color w:val="auto"/>
          <w:highlight w:val="none"/>
        </w:rPr>
        <w:t>）使用操作培训</w:t>
      </w:r>
    </w:p>
    <w:p>
      <w:pPr>
        <w:spacing w:line="360" w:lineRule="auto"/>
        <w:ind w:firstLine="420" w:firstLineChars="200"/>
        <w:rPr>
          <w:rFonts w:ascii="宋体" w:hAnsi="宋体" w:cs="仿宋_GB2312"/>
          <w:color w:val="auto"/>
          <w:highlight w:val="none"/>
        </w:rPr>
      </w:pPr>
      <w:r>
        <w:rPr>
          <w:rFonts w:hint="eastAsia" w:ascii="宋体" w:hAnsi="宋体" w:cs="仿宋_GB2312"/>
          <w:color w:val="auto"/>
          <w:highlight w:val="none"/>
        </w:rPr>
        <w:t>为保证业务操作人员对系统的熟练操作，对业务操作人员进行系统的操作及内部的管理培训。</w:t>
      </w:r>
    </w:p>
    <w:p>
      <w:pPr>
        <w:spacing w:line="360" w:lineRule="auto"/>
        <w:ind w:firstLine="420" w:firstLineChars="200"/>
        <w:rPr>
          <w:rFonts w:ascii="宋体" w:hAnsi="宋体" w:cs="仿宋_GB2312"/>
          <w:color w:val="auto"/>
          <w:highlight w:val="none"/>
        </w:rPr>
      </w:pPr>
      <w:r>
        <w:rPr>
          <w:rFonts w:ascii="宋体" w:hAnsi="宋体" w:cs="仿宋_GB2312"/>
          <w:color w:val="auto"/>
          <w:highlight w:val="none"/>
        </w:rPr>
        <w:t>4</w:t>
      </w:r>
      <w:r>
        <w:rPr>
          <w:rFonts w:hint="eastAsia" w:ascii="宋体" w:hAnsi="宋体" w:cs="仿宋_GB2312"/>
          <w:color w:val="auto"/>
          <w:highlight w:val="none"/>
        </w:rPr>
        <w:t>）光伏发电系统设备操作培训</w:t>
      </w:r>
    </w:p>
    <w:p>
      <w:pPr>
        <w:spacing w:line="360" w:lineRule="auto"/>
        <w:ind w:firstLine="420" w:firstLineChars="200"/>
        <w:rPr>
          <w:rFonts w:ascii="宋体" w:hAnsi="宋体" w:cs="仿宋_GB2312"/>
          <w:color w:val="auto"/>
          <w:highlight w:val="none"/>
        </w:rPr>
      </w:pPr>
      <w:r>
        <w:rPr>
          <w:rFonts w:hint="eastAsia" w:ascii="宋体" w:hAnsi="宋体" w:cs="仿宋_GB2312"/>
          <w:color w:val="auto"/>
          <w:highlight w:val="none"/>
        </w:rPr>
        <w:t>为保证业务操作人员了解光伏发电原理和系统构成，能够安全、正确、熟练操作光伏发电系统设备，能够判别系统简单故障原因并会对简单缺陷进行处理，能够掌握应急处理方法和报修程序。</w:t>
      </w:r>
    </w:p>
    <w:p>
      <w:pPr>
        <w:spacing w:line="360" w:lineRule="auto"/>
        <w:rPr>
          <w:rFonts w:ascii="宋体" w:hAnsi="宋体" w:cs="仿宋_GB2312"/>
          <w:color w:val="auto"/>
          <w:highlight w:val="none"/>
        </w:rPr>
      </w:pPr>
      <w:r>
        <w:rPr>
          <w:rFonts w:ascii="宋体" w:hAnsi="宋体" w:cs="仿宋_GB2312"/>
          <w:color w:val="auto"/>
          <w:highlight w:val="none"/>
        </w:rPr>
        <w:t>3</w:t>
      </w:r>
      <w:r>
        <w:rPr>
          <w:rFonts w:hint="eastAsia" w:ascii="宋体" w:hAnsi="宋体" w:cs="仿宋_GB2312"/>
          <w:color w:val="auto"/>
          <w:highlight w:val="none"/>
        </w:rPr>
        <w:t>、其他服务要求</w:t>
      </w:r>
    </w:p>
    <w:bookmarkEnd w:id="118"/>
    <w:p>
      <w:pPr>
        <w:widowControl/>
        <w:spacing w:line="360" w:lineRule="auto"/>
        <w:ind w:firstLine="420" w:firstLineChars="200"/>
        <w:rPr>
          <w:color w:val="auto"/>
          <w:highlight w:val="none"/>
        </w:rPr>
      </w:pPr>
      <w:r>
        <w:rPr>
          <w:color w:val="auto"/>
          <w:highlight w:val="none"/>
        </w:rPr>
        <w:t>投标人向招标人承诺：在质保期满后，投标人继续为招标人提供维护服务，由此产生的费用由招标人承担。</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pStyle w:val="2"/>
        <w:rPr>
          <w:color w:val="auto"/>
          <w:highlight w:val="none"/>
        </w:rPr>
      </w:pPr>
      <w:r>
        <w:rPr>
          <w:rFonts w:hint="eastAsia"/>
          <w:color w:val="auto"/>
          <w:highlight w:val="none"/>
        </w:rPr>
        <w:t>第五章   评标办法</w:t>
      </w:r>
    </w:p>
    <w:p>
      <w:pPr>
        <w:spacing w:line="44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第一条</w:t>
      </w:r>
      <w:r>
        <w:rPr>
          <w:rFonts w:hint="eastAsia" w:ascii="宋体" w:hAnsi="宋体"/>
          <w:color w:val="auto"/>
          <w:szCs w:val="21"/>
          <w:highlight w:val="none"/>
        </w:rPr>
        <w:t>：根据《中华人</w:t>
      </w:r>
      <w:r>
        <w:rPr>
          <w:rFonts w:hint="eastAsia" w:ascii="宋体" w:hAnsi="宋体"/>
          <w:color w:val="auto"/>
          <w:kern w:val="0"/>
          <w:szCs w:val="21"/>
          <w:highlight w:val="none"/>
        </w:rPr>
        <w:t>民共和国招标投标法》、《</w:t>
      </w:r>
      <w:r>
        <w:rPr>
          <w:rFonts w:hint="eastAsia" w:ascii="宋体" w:hAnsi="宋体"/>
          <w:bCs/>
          <w:color w:val="auto"/>
          <w:kern w:val="0"/>
          <w:szCs w:val="21"/>
          <w:highlight w:val="none"/>
        </w:rPr>
        <w:t>丽水市建设工程施工招标投标评标实施</w:t>
      </w:r>
      <w:r>
        <w:rPr>
          <w:rFonts w:hint="eastAsia" w:ascii="宋体" w:hAnsi="宋体"/>
          <w:bCs/>
          <w:color w:val="auto"/>
          <w:szCs w:val="21"/>
          <w:highlight w:val="none"/>
        </w:rPr>
        <w:t>细则</w:t>
      </w:r>
      <w:r>
        <w:rPr>
          <w:rFonts w:hint="eastAsia" w:ascii="宋体" w:hAnsi="宋体"/>
          <w:color w:val="auto"/>
          <w:szCs w:val="21"/>
          <w:highlight w:val="none"/>
        </w:rPr>
        <w:t>》，结合本项目实际情况</w:t>
      </w:r>
      <w:r>
        <w:rPr>
          <w:rFonts w:hint="eastAsia" w:ascii="宋体" w:hAnsi="宋体"/>
          <w:color w:val="auto"/>
          <w:kern w:val="0"/>
          <w:szCs w:val="21"/>
          <w:highlight w:val="none"/>
        </w:rPr>
        <w:t>，规范本次招标的评审工作，按公平、公正、择优的原则选择中标人，特制定本办法。</w:t>
      </w:r>
    </w:p>
    <w:p>
      <w:pPr>
        <w:spacing w:line="440" w:lineRule="exact"/>
        <w:ind w:firstLine="422" w:firstLineChars="200"/>
        <w:rPr>
          <w:rFonts w:ascii="宋体" w:hAnsi="宋体"/>
          <w:color w:val="auto"/>
          <w:szCs w:val="21"/>
          <w:highlight w:val="none"/>
        </w:rPr>
      </w:pPr>
      <w:r>
        <w:rPr>
          <w:rFonts w:hint="eastAsia" w:ascii="宋体" w:hAnsi="宋体"/>
          <w:b/>
          <w:color w:val="auto"/>
          <w:szCs w:val="21"/>
          <w:highlight w:val="none"/>
        </w:rPr>
        <w:t>第二条</w:t>
      </w:r>
      <w:r>
        <w:rPr>
          <w:rFonts w:hint="eastAsia" w:ascii="宋体" w:hAnsi="宋体"/>
          <w:color w:val="auto"/>
          <w:szCs w:val="21"/>
          <w:highlight w:val="none"/>
        </w:rPr>
        <w:t>：投标标书由商务标、技术资信标、电子光盘组成。</w:t>
      </w:r>
    </w:p>
    <w:p>
      <w:pPr>
        <w:spacing w:line="440" w:lineRule="exact"/>
        <w:ind w:firstLine="422" w:firstLineChars="200"/>
        <w:rPr>
          <w:rFonts w:ascii="宋体" w:hAnsi="宋体"/>
          <w:color w:val="auto"/>
          <w:szCs w:val="21"/>
          <w:highlight w:val="none"/>
        </w:rPr>
      </w:pPr>
      <w:r>
        <w:rPr>
          <w:rFonts w:hint="eastAsia" w:ascii="宋体" w:hAnsi="宋体"/>
          <w:b/>
          <w:color w:val="auto"/>
          <w:szCs w:val="21"/>
          <w:highlight w:val="none"/>
        </w:rPr>
        <w:t>第三条</w:t>
      </w:r>
      <w:r>
        <w:rPr>
          <w:rFonts w:hint="eastAsia" w:ascii="宋体" w:hAnsi="宋体"/>
          <w:color w:val="auto"/>
          <w:szCs w:val="21"/>
          <w:highlight w:val="none"/>
        </w:rPr>
        <w:t>：评标时先当众开启各投标人的投标标书，评标时只对有效标书进行评审。</w:t>
      </w:r>
    </w:p>
    <w:p>
      <w:pPr>
        <w:spacing w:line="440" w:lineRule="exact"/>
        <w:ind w:firstLine="422" w:firstLineChars="200"/>
        <w:rPr>
          <w:rFonts w:ascii="宋体" w:hAnsi="宋体"/>
          <w:color w:val="auto"/>
          <w:szCs w:val="21"/>
          <w:highlight w:val="none"/>
        </w:rPr>
      </w:pPr>
      <w:r>
        <w:rPr>
          <w:rFonts w:hint="eastAsia" w:ascii="宋体" w:hAnsi="宋体"/>
          <w:b/>
          <w:color w:val="auto"/>
          <w:szCs w:val="21"/>
          <w:highlight w:val="none"/>
        </w:rPr>
        <w:t>第四条</w:t>
      </w:r>
      <w:r>
        <w:rPr>
          <w:rFonts w:hint="eastAsia" w:ascii="宋体" w:hAnsi="宋体"/>
          <w:color w:val="auto"/>
          <w:szCs w:val="21"/>
          <w:highlight w:val="none"/>
        </w:rPr>
        <w:t>：评标委员会对投标标书中有关疑问部分可以询标，投标人作书面澄清和说明时应由投标人法定代表人或委托代理人签字，作为投标文件的组成部分，但不得对投标文件中实质性内容进行修改。</w:t>
      </w:r>
    </w:p>
    <w:p>
      <w:pPr>
        <w:autoSpaceDE w:val="0"/>
        <w:autoSpaceDN w:val="0"/>
        <w:adjustRightInd w:val="0"/>
        <w:spacing w:line="440" w:lineRule="exact"/>
        <w:ind w:firstLine="420" w:firstLineChars="199"/>
        <w:rPr>
          <w:rFonts w:ascii="宋体" w:hAnsi="宋体"/>
          <w:color w:val="auto"/>
          <w:szCs w:val="21"/>
          <w:highlight w:val="none"/>
        </w:rPr>
      </w:pPr>
      <w:r>
        <w:rPr>
          <w:rFonts w:hint="eastAsia" w:ascii="宋体" w:hAnsi="宋体"/>
          <w:b/>
          <w:color w:val="auto"/>
          <w:szCs w:val="21"/>
          <w:highlight w:val="none"/>
        </w:rPr>
        <w:t>第五条</w:t>
      </w:r>
      <w:r>
        <w:rPr>
          <w:rFonts w:hint="eastAsia" w:ascii="宋体" w:hAnsi="宋体"/>
          <w:color w:val="auto"/>
          <w:szCs w:val="21"/>
          <w:highlight w:val="none"/>
        </w:rPr>
        <w:t>：评标方法：</w:t>
      </w:r>
    </w:p>
    <w:p>
      <w:pPr>
        <w:autoSpaceDE w:val="0"/>
        <w:autoSpaceDN w:val="0"/>
        <w:adjustRightInd w:val="0"/>
        <w:spacing w:line="440" w:lineRule="exact"/>
        <w:ind w:firstLine="480"/>
        <w:rPr>
          <w:rFonts w:ascii="宋体" w:hAnsi="宋体"/>
          <w:bCs/>
          <w:color w:val="auto"/>
          <w:szCs w:val="21"/>
          <w:highlight w:val="none"/>
        </w:rPr>
      </w:pPr>
      <w:r>
        <w:rPr>
          <w:rFonts w:hint="eastAsia" w:ascii="宋体" w:hAnsi="宋体"/>
          <w:bCs/>
          <w:color w:val="auto"/>
          <w:szCs w:val="21"/>
          <w:highlight w:val="none"/>
        </w:rPr>
        <w:t>本次招标评审采用综合评分法。开标后，评标委员会首先审查投标人的资格和投标文件内容的完整性、符合性和响应性，凡不具备投标资格或不响应招标文件实质性要求的投标文件不进入评标范围。</w:t>
      </w:r>
      <w:r>
        <w:rPr>
          <w:rFonts w:hint="eastAsia" w:hAnsi="宋体"/>
          <w:color w:val="auto"/>
          <w:szCs w:val="21"/>
          <w:highlight w:val="none"/>
        </w:rPr>
        <w:t>若本次招标的有效投标人少于三家，本次招标视为招标失败，不产生中标人。</w:t>
      </w:r>
    </w:p>
    <w:p>
      <w:pPr>
        <w:autoSpaceDE w:val="0"/>
        <w:autoSpaceDN w:val="0"/>
        <w:adjustRightInd w:val="0"/>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第六条</w:t>
      </w:r>
      <w:r>
        <w:rPr>
          <w:rFonts w:hint="eastAsia" w:ascii="宋体" w:hAnsi="宋体"/>
          <w:color w:val="auto"/>
          <w:szCs w:val="21"/>
          <w:highlight w:val="none"/>
        </w:rPr>
        <w:t>：</w:t>
      </w:r>
      <w:r>
        <w:rPr>
          <w:rFonts w:hint="eastAsia" w:ascii="宋体" w:hAnsi="宋体"/>
          <w:b/>
          <w:color w:val="auto"/>
          <w:szCs w:val="21"/>
          <w:highlight w:val="none"/>
        </w:rPr>
        <w:t>投标文件评审</w:t>
      </w:r>
    </w:p>
    <w:p>
      <w:pPr>
        <w:adjustRightInd w:val="0"/>
        <w:snapToGrid w:val="0"/>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（一）投标文件的初步评审</w:t>
      </w:r>
    </w:p>
    <w:p>
      <w:pPr>
        <w:pStyle w:val="25"/>
        <w:adjustRightInd w:val="0"/>
        <w:snapToGrid w:val="0"/>
        <w:spacing w:line="440" w:lineRule="exact"/>
        <w:ind w:firstLine="420" w:firstLineChars="200"/>
        <w:rPr>
          <w:rFonts w:hAnsi="宋体"/>
          <w:color w:val="auto"/>
          <w:szCs w:val="21"/>
          <w:highlight w:val="none"/>
        </w:rPr>
      </w:pPr>
      <w:r>
        <w:rPr>
          <w:rFonts w:hint="eastAsia" w:hAnsi="宋体"/>
          <w:color w:val="auto"/>
          <w:szCs w:val="21"/>
          <w:highlight w:val="none"/>
        </w:rPr>
        <w:t>1、开标后，评标委员会首先对各投标文件进行初步评审，投标文件有下列情形之一的，应当作为无效标处理，不再进行进一步的评审：</w:t>
      </w:r>
    </w:p>
    <w:p>
      <w:pPr>
        <w:pStyle w:val="25"/>
        <w:adjustRightInd w:val="0"/>
        <w:snapToGrid w:val="0"/>
        <w:spacing w:line="440" w:lineRule="exact"/>
        <w:ind w:firstLine="420" w:firstLineChars="200"/>
        <w:rPr>
          <w:rFonts w:hAnsi="宋体"/>
          <w:color w:val="auto"/>
          <w:szCs w:val="21"/>
          <w:highlight w:val="none"/>
        </w:rPr>
      </w:pPr>
      <w:r>
        <w:rPr>
          <w:rFonts w:hint="eastAsia" w:hAnsi="宋体"/>
          <w:color w:val="auto"/>
          <w:szCs w:val="21"/>
          <w:highlight w:val="none"/>
        </w:rPr>
        <w:t>（1）投标人的资格不符合招标文件要求的；</w:t>
      </w:r>
    </w:p>
    <w:p>
      <w:pPr>
        <w:pStyle w:val="25"/>
        <w:adjustRightInd w:val="0"/>
        <w:snapToGrid w:val="0"/>
        <w:spacing w:line="440" w:lineRule="exact"/>
        <w:ind w:firstLine="420" w:firstLineChars="200"/>
        <w:rPr>
          <w:rFonts w:hAnsi="宋体"/>
          <w:color w:val="auto"/>
          <w:szCs w:val="21"/>
          <w:highlight w:val="none"/>
        </w:rPr>
      </w:pPr>
      <w:r>
        <w:rPr>
          <w:rFonts w:hint="eastAsia" w:hAnsi="宋体"/>
          <w:color w:val="auto"/>
          <w:szCs w:val="21"/>
          <w:highlight w:val="none"/>
        </w:rPr>
        <w:t>（2）</w:t>
      </w:r>
      <w:r>
        <w:rPr>
          <w:rFonts w:hint="eastAsia"/>
          <w:color w:val="auto"/>
          <w:szCs w:val="21"/>
          <w:highlight w:val="none"/>
        </w:rPr>
        <w:t>按招标文件提供的各类证照不在有效期内的</w:t>
      </w:r>
      <w:r>
        <w:rPr>
          <w:rFonts w:hint="eastAsia" w:hAnsi="宋体"/>
          <w:color w:val="auto"/>
          <w:szCs w:val="21"/>
          <w:highlight w:val="none"/>
        </w:rPr>
        <w:t>；</w:t>
      </w:r>
    </w:p>
    <w:p>
      <w:pPr>
        <w:adjustRightInd w:val="0"/>
        <w:snapToGrid w:val="0"/>
        <w:spacing w:line="440" w:lineRule="exact"/>
        <w:ind w:firstLine="420" w:firstLineChars="200"/>
        <w:jc w:val="left"/>
        <w:rPr>
          <w:rFonts w:ascii="宋体" w:hAnsi="宋体"/>
          <w:bCs/>
          <w:color w:val="auto"/>
          <w:szCs w:val="21"/>
          <w:highlight w:val="none"/>
        </w:rPr>
      </w:pPr>
      <w:r>
        <w:rPr>
          <w:rFonts w:hint="eastAsia" w:ascii="宋体" w:hAnsi="宋体"/>
          <w:color w:val="auto"/>
          <w:szCs w:val="21"/>
          <w:highlight w:val="none"/>
        </w:rPr>
        <w:t>（3）投标文件有关内容未按招标</w:t>
      </w:r>
      <w:r>
        <w:rPr>
          <w:rFonts w:hint="eastAsia" w:ascii="宋体" w:hAnsi="宋体"/>
          <w:bCs/>
          <w:color w:val="auto"/>
          <w:szCs w:val="21"/>
          <w:highlight w:val="none"/>
        </w:rPr>
        <w:t xml:space="preserve">文件规定加盖投标人印章或未经法定代表人或其委托代理人签字或盖章的；由委托代理人签字或盖章，但未随投标文件一起提交有效的“授权委托书”的； </w:t>
      </w:r>
    </w:p>
    <w:p>
      <w:pPr>
        <w:adjustRightInd w:val="0"/>
        <w:snapToGri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（4）投标文件未按招标文件要求编制，内容不全或字迹模糊的；</w:t>
      </w:r>
    </w:p>
    <w:p>
      <w:pPr>
        <w:adjustRightInd w:val="0"/>
        <w:snapToGri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（5）投标文件中有弄虚作假、欺骗性内容资料的；</w:t>
      </w:r>
    </w:p>
    <w:p>
      <w:pPr>
        <w:adjustRightInd w:val="0"/>
        <w:snapToGri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（6）投标人递交两份或两份以上内容不同的投标文件，未声明哪一份有效的；</w:t>
      </w:r>
    </w:p>
    <w:p>
      <w:pPr>
        <w:adjustRightInd w:val="0"/>
        <w:snapToGri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（7）经评标委员会认定，</w:t>
      </w:r>
      <w:r>
        <w:rPr>
          <w:rFonts w:hint="eastAsia" w:ascii="宋体" w:hAnsi="宋体"/>
          <w:color w:val="auto"/>
          <w:szCs w:val="21"/>
          <w:highlight w:val="none"/>
        </w:rPr>
        <w:t>项目设计方案</w:t>
      </w:r>
      <w:r>
        <w:rPr>
          <w:rFonts w:hint="eastAsia" w:ascii="宋体" w:hAnsi="宋体"/>
          <w:bCs/>
          <w:color w:val="auto"/>
          <w:szCs w:val="21"/>
          <w:highlight w:val="none"/>
        </w:rPr>
        <w:t>（结合偏离）未能达到招标文件要求的；</w:t>
      </w:r>
    </w:p>
    <w:p>
      <w:pPr>
        <w:adjustRightInd w:val="0"/>
        <w:snapToGrid w:val="0"/>
        <w:spacing w:line="440" w:lineRule="exact"/>
        <w:ind w:firstLine="420" w:firstLineChars="200"/>
        <w:rPr>
          <w:rFonts w:ascii="宋体" w:hAnsi="宋体"/>
          <w:color w:val="auto"/>
          <w:szCs w:val="21"/>
          <w:highlight w:val="none"/>
        </w:rPr>
      </w:pPr>
      <w:r>
        <w:rPr>
          <w:rFonts w:hint="eastAsia" w:ascii="宋体" w:hAnsi="宋体"/>
          <w:bCs/>
          <w:color w:val="auto"/>
          <w:szCs w:val="21"/>
          <w:highlight w:val="none"/>
        </w:rPr>
        <w:t>（8）</w:t>
      </w:r>
      <w:r>
        <w:rPr>
          <w:rFonts w:hint="eastAsia" w:ascii="宋体" w:hAnsi="宋体"/>
          <w:color w:val="auto"/>
          <w:szCs w:val="21"/>
          <w:highlight w:val="none"/>
        </w:rPr>
        <w:t>投标报价超过最高限价或明显低于成本价的。</w:t>
      </w:r>
    </w:p>
    <w:p>
      <w:pPr>
        <w:autoSpaceDE w:val="0"/>
        <w:autoSpaceDN w:val="0"/>
        <w:adjustRightInd w:val="0"/>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（9）未按要求交纳投标保证金的。</w:t>
      </w:r>
    </w:p>
    <w:p>
      <w:pPr>
        <w:spacing w:line="440" w:lineRule="exact"/>
        <w:rPr>
          <w:rFonts w:ascii="宋体" w:hAnsi="宋体"/>
          <w:color w:val="auto"/>
          <w:szCs w:val="21"/>
          <w:highlight w:val="none"/>
        </w:rPr>
      </w:pPr>
      <w:r>
        <w:rPr>
          <w:rFonts w:hint="eastAsia" w:ascii="宋体" w:hAnsi="宋体"/>
          <w:color w:val="auto"/>
          <w:szCs w:val="21"/>
          <w:highlight w:val="none"/>
        </w:rPr>
        <w:t xml:space="preserve">    2、审查时发现价格计算有误，将按下述原则修正：</w:t>
      </w:r>
    </w:p>
    <w:p>
      <w:pPr>
        <w:pStyle w:val="25"/>
        <w:adjustRightInd w:val="0"/>
        <w:snapToGrid w:val="0"/>
        <w:spacing w:line="440" w:lineRule="exact"/>
        <w:ind w:firstLine="420" w:firstLineChars="200"/>
        <w:rPr>
          <w:rFonts w:hAnsi="宋体"/>
          <w:color w:val="auto"/>
          <w:szCs w:val="21"/>
          <w:highlight w:val="none"/>
        </w:rPr>
      </w:pPr>
      <w:r>
        <w:rPr>
          <w:rFonts w:hint="eastAsia" w:hAnsi="宋体"/>
          <w:color w:val="auto"/>
          <w:szCs w:val="21"/>
          <w:highlight w:val="none"/>
        </w:rPr>
        <w:t>（1）如以文字表示的数据与数字表示的有差别，以文字为准修正数字。</w:t>
      </w:r>
    </w:p>
    <w:p>
      <w:pPr>
        <w:pStyle w:val="25"/>
        <w:adjustRightInd w:val="0"/>
        <w:snapToGrid w:val="0"/>
        <w:spacing w:line="440" w:lineRule="exact"/>
        <w:ind w:firstLine="420" w:firstLineChars="200"/>
        <w:rPr>
          <w:rFonts w:hAnsi="宋体"/>
          <w:color w:val="auto"/>
          <w:szCs w:val="21"/>
          <w:highlight w:val="none"/>
        </w:rPr>
      </w:pPr>
      <w:r>
        <w:rPr>
          <w:rFonts w:hint="eastAsia" w:hAnsi="宋体"/>
          <w:color w:val="auto"/>
          <w:szCs w:val="21"/>
          <w:highlight w:val="none"/>
        </w:rPr>
        <w:t>（2）修正后的报价对投标起约束作用，如果投标人不接受修正后的报价，则其投标将被拒绝，并且没收其投标保证金。</w:t>
      </w:r>
    </w:p>
    <w:p>
      <w:pPr>
        <w:pStyle w:val="25"/>
        <w:adjustRightInd w:val="0"/>
        <w:snapToGrid w:val="0"/>
        <w:spacing w:line="440" w:lineRule="exact"/>
        <w:ind w:firstLine="420" w:firstLineChars="200"/>
        <w:rPr>
          <w:rFonts w:hAnsi="宋体"/>
          <w:color w:val="auto"/>
          <w:szCs w:val="21"/>
          <w:highlight w:val="none"/>
        </w:rPr>
      </w:pPr>
      <w:r>
        <w:rPr>
          <w:rFonts w:hint="eastAsia" w:hAnsi="宋体"/>
          <w:color w:val="auto"/>
          <w:szCs w:val="21"/>
          <w:highlight w:val="none"/>
        </w:rPr>
        <w:t>3、审查时如发现投标文件与招标文件规定的运输要求、技术参数、合同期有重大偏离，其投标文件将被拒绝。</w:t>
      </w:r>
    </w:p>
    <w:p>
      <w:pPr>
        <w:pStyle w:val="25"/>
        <w:adjustRightInd w:val="0"/>
        <w:snapToGrid w:val="0"/>
        <w:spacing w:line="440" w:lineRule="exact"/>
        <w:ind w:firstLine="420" w:firstLineChars="200"/>
        <w:rPr>
          <w:rFonts w:hAnsi="宋体"/>
          <w:color w:val="auto"/>
          <w:szCs w:val="21"/>
          <w:highlight w:val="none"/>
        </w:rPr>
      </w:pPr>
      <w:r>
        <w:rPr>
          <w:rFonts w:hint="eastAsia" w:hAnsi="宋体"/>
          <w:color w:val="auto"/>
          <w:szCs w:val="21"/>
          <w:highlight w:val="none"/>
        </w:rPr>
        <w:t>4、对投标文件的判定，只依据投标内容本身，不依靠开标后的任何外来证明。</w:t>
      </w:r>
    </w:p>
    <w:p>
      <w:pPr>
        <w:autoSpaceDE w:val="0"/>
        <w:autoSpaceDN w:val="0"/>
        <w:adjustRightInd w:val="0"/>
        <w:snapToGrid w:val="0"/>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（二）投标文件的详细评审</w:t>
      </w:r>
    </w:p>
    <w:p>
      <w:pPr>
        <w:pStyle w:val="25"/>
        <w:adjustRightInd w:val="0"/>
        <w:snapToGrid w:val="0"/>
        <w:spacing w:line="440" w:lineRule="exact"/>
        <w:ind w:firstLine="420" w:firstLineChars="200"/>
        <w:rPr>
          <w:rFonts w:hAnsi="宋体"/>
          <w:color w:val="auto"/>
          <w:szCs w:val="21"/>
          <w:highlight w:val="none"/>
        </w:rPr>
      </w:pPr>
      <w:r>
        <w:rPr>
          <w:rFonts w:hint="eastAsia" w:hAnsi="宋体"/>
          <w:color w:val="auto"/>
          <w:szCs w:val="21"/>
          <w:highlight w:val="none"/>
        </w:rPr>
        <w:t>评标委员会以审标、询标为依据，对有效投标书及投标人分别进行分析、评议。详细评审采用综合评分法，采用百分制计分法，分别对以下二部分进行评分。</w:t>
      </w:r>
    </w:p>
    <w:p>
      <w:pPr>
        <w:autoSpaceDE w:val="0"/>
        <w:autoSpaceDN w:val="0"/>
        <w:adjustRightInd w:val="0"/>
        <w:snapToGrid w:val="0"/>
        <w:spacing w:line="440" w:lineRule="exact"/>
        <w:ind w:left="507"/>
        <w:jc w:val="left"/>
        <w:outlineLvl w:val="0"/>
        <w:rPr>
          <w:rFonts w:ascii="宋体" w:hAnsi="宋体"/>
          <w:color w:val="auto"/>
          <w:kern w:val="0"/>
          <w:szCs w:val="21"/>
          <w:highlight w:val="none"/>
        </w:rPr>
      </w:pPr>
      <w:r>
        <w:rPr>
          <w:rFonts w:hint="eastAsia" w:ascii="宋体" w:hAnsi="宋体"/>
          <w:color w:val="auto"/>
          <w:kern w:val="0"/>
          <w:szCs w:val="21"/>
          <w:highlight w:val="none"/>
        </w:rPr>
        <w:t>1、技术资信标评分（</w:t>
      </w:r>
      <w:r>
        <w:rPr>
          <w:rFonts w:ascii="宋体" w:hAnsi="宋体"/>
          <w:color w:val="auto"/>
          <w:kern w:val="0"/>
          <w:szCs w:val="21"/>
          <w:highlight w:val="none"/>
        </w:rPr>
        <w:t>40</w:t>
      </w:r>
      <w:r>
        <w:rPr>
          <w:rFonts w:hint="eastAsia" w:ascii="宋体" w:hAnsi="宋体"/>
          <w:color w:val="auto"/>
          <w:kern w:val="0"/>
          <w:szCs w:val="21"/>
          <w:highlight w:val="none"/>
        </w:rPr>
        <w:t>分）：</w:t>
      </w:r>
    </w:p>
    <w:tbl>
      <w:tblPr>
        <w:tblStyle w:val="48"/>
        <w:tblW w:w="9072" w:type="dxa"/>
        <w:tblInd w:w="108" w:type="dxa"/>
        <w:tblLayout w:type="fixed"/>
        <w:tblCellMar>
          <w:top w:w="0" w:type="dxa"/>
          <w:left w:w="108" w:type="dxa"/>
          <w:bottom w:w="0" w:type="dxa"/>
          <w:right w:w="108" w:type="dxa"/>
        </w:tblCellMar>
      </w:tblPr>
      <w:tblGrid>
        <w:gridCol w:w="742"/>
        <w:gridCol w:w="2519"/>
        <w:gridCol w:w="850"/>
        <w:gridCol w:w="4961"/>
      </w:tblGrid>
      <w:tr>
        <w:tblPrEx>
          <w:tblCellMar>
            <w:top w:w="0" w:type="dxa"/>
            <w:left w:w="108" w:type="dxa"/>
            <w:bottom w:w="0" w:type="dxa"/>
            <w:right w:w="108" w:type="dxa"/>
          </w:tblCellMar>
        </w:tblPrEx>
        <w:trPr>
          <w:trHeight w:val="313" w:hRule="atLeast"/>
        </w:trPr>
        <w:tc>
          <w:tcPr>
            <w:tcW w:w="7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项目</w:t>
            </w:r>
          </w:p>
        </w:tc>
        <w:tc>
          <w:tcPr>
            <w:tcW w:w="850" w:type="dxa"/>
            <w:tcBorders>
              <w:top w:val="single" w:color="auto" w:sz="4" w:space="0"/>
              <w:left w:val="single" w:color="auto" w:sz="4" w:space="0"/>
              <w:bottom w:val="single" w:color="000000"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分值</w:t>
            </w:r>
          </w:p>
        </w:tc>
        <w:tc>
          <w:tcPr>
            <w:tcW w:w="4961" w:type="dxa"/>
            <w:tcBorders>
              <w:top w:val="single" w:color="auto" w:sz="4" w:space="0"/>
              <w:left w:val="single" w:color="auto" w:sz="4" w:space="0"/>
              <w:bottom w:val="single" w:color="000000"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742"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2519" w:type="dxa"/>
            <w:vAlign w:val="center"/>
          </w:tcPr>
          <w:p>
            <w:pPr>
              <w:jc w:val="center"/>
              <w:rPr>
                <w:rFonts w:ascii="宋体" w:hAnsi="宋体"/>
                <w:color w:val="auto"/>
                <w:szCs w:val="21"/>
                <w:highlight w:val="none"/>
              </w:rPr>
            </w:pPr>
            <w:r>
              <w:rPr>
                <w:rFonts w:hint="eastAsia" w:ascii="宋体" w:hAnsi="宋体"/>
                <w:color w:val="auto"/>
                <w:szCs w:val="21"/>
                <w:highlight w:val="none"/>
              </w:rPr>
              <w:t>项目设计方案的合理性（投标人提供</w:t>
            </w:r>
            <w:r>
              <w:rPr>
                <w:rFonts w:hint="eastAsia" w:ascii="宋体" w:hAnsi="宋体" w:cs="宋体"/>
                <w:b/>
                <w:bCs/>
                <w:color w:val="auto"/>
                <w:kern w:val="0"/>
                <w:sz w:val="22"/>
                <w:szCs w:val="22"/>
                <w:highlight w:val="none"/>
                <w:u w:val="single"/>
              </w:rPr>
              <w:t>丽水城南</w:t>
            </w:r>
            <w:r>
              <w:rPr>
                <w:rFonts w:hint="eastAsia" w:ascii="宋体" w:hAnsi="宋体"/>
                <w:b/>
                <w:bCs/>
                <w:color w:val="auto"/>
                <w:szCs w:val="21"/>
                <w:highlight w:val="none"/>
                <w:u w:val="single"/>
              </w:rPr>
              <w:t>加油站</w:t>
            </w:r>
            <w:r>
              <w:rPr>
                <w:rFonts w:hint="eastAsia" w:ascii="宋体" w:hAnsi="宋体"/>
                <w:color w:val="auto"/>
                <w:szCs w:val="21"/>
                <w:highlight w:val="none"/>
              </w:rPr>
              <w:t xml:space="preserve">的设计方案， </w:t>
            </w:r>
          </w:p>
        </w:tc>
        <w:tc>
          <w:tcPr>
            <w:tcW w:w="850" w:type="dxa"/>
            <w:vAlign w:val="center"/>
          </w:tcPr>
          <w:p>
            <w:pPr>
              <w:jc w:val="center"/>
              <w:rPr>
                <w:rFonts w:ascii="宋体" w:hAnsi="宋体"/>
                <w:color w:val="auto"/>
                <w:szCs w:val="21"/>
                <w:highlight w:val="none"/>
              </w:rPr>
            </w:pPr>
            <w:r>
              <w:rPr>
                <w:rFonts w:ascii="宋体" w:hAnsi="宋体"/>
                <w:color w:val="auto"/>
                <w:szCs w:val="21"/>
                <w:highlight w:val="none"/>
              </w:rPr>
              <w:t>0</w:t>
            </w:r>
            <w:r>
              <w:rPr>
                <w:rFonts w:hint="eastAsia" w:ascii="宋体" w:hAnsi="宋体"/>
                <w:color w:val="auto"/>
                <w:szCs w:val="21"/>
                <w:highlight w:val="none"/>
              </w:rPr>
              <w:t>～</w:t>
            </w:r>
            <w:r>
              <w:rPr>
                <w:rFonts w:ascii="宋体" w:hAnsi="宋体"/>
                <w:color w:val="auto"/>
                <w:szCs w:val="21"/>
                <w:highlight w:val="none"/>
              </w:rPr>
              <w:t>9</w:t>
            </w:r>
          </w:p>
        </w:tc>
        <w:tc>
          <w:tcPr>
            <w:tcW w:w="4961" w:type="dxa"/>
            <w:vAlign w:val="center"/>
          </w:tcPr>
          <w:p>
            <w:pPr>
              <w:jc w:val="left"/>
              <w:rPr>
                <w:rFonts w:ascii="等线" w:hAnsi="等线" w:eastAsia="等线" w:cs="等线"/>
                <w:color w:val="auto"/>
                <w:sz w:val="18"/>
                <w:szCs w:val="18"/>
                <w:highlight w:val="none"/>
              </w:rPr>
            </w:pPr>
            <w:r>
              <w:rPr>
                <w:rFonts w:hint="eastAsia" w:ascii="宋体" w:hAnsi="宋体"/>
                <w:color w:val="auto"/>
                <w:szCs w:val="21"/>
                <w:highlight w:val="none"/>
              </w:rPr>
              <w:t>根据</w:t>
            </w:r>
            <w:r>
              <w:rPr>
                <w:rFonts w:ascii="宋体" w:hAnsi="宋体"/>
                <w:color w:val="auto"/>
                <w:szCs w:val="21"/>
                <w:highlight w:val="none"/>
              </w:rPr>
              <w:t>投标人对本项目的业务需求理解程度，</w:t>
            </w:r>
            <w:r>
              <w:rPr>
                <w:rFonts w:hint="eastAsia" w:ascii="宋体" w:hAnsi="宋体"/>
                <w:color w:val="auto"/>
                <w:szCs w:val="21"/>
                <w:highlight w:val="none"/>
              </w:rPr>
              <w:t>对指定加油站光伏发电站</w:t>
            </w:r>
            <w:r>
              <w:rPr>
                <w:rFonts w:ascii="宋体" w:hAnsi="宋体"/>
                <w:color w:val="auto"/>
                <w:szCs w:val="21"/>
                <w:highlight w:val="none"/>
              </w:rPr>
              <w:t>设计的合理性、完整性</w:t>
            </w:r>
            <w:r>
              <w:rPr>
                <w:rFonts w:hint="eastAsia" w:ascii="宋体" w:hAnsi="宋体"/>
                <w:color w:val="auto"/>
                <w:szCs w:val="21"/>
                <w:highlight w:val="none"/>
              </w:rPr>
              <w:t>以及设计的容量、发电的效率进行评分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42"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2519" w:type="dxa"/>
            <w:vAlign w:val="center"/>
          </w:tcPr>
          <w:p>
            <w:pPr>
              <w:jc w:val="center"/>
              <w:rPr>
                <w:rFonts w:ascii="宋体" w:hAnsi="宋体"/>
                <w:color w:val="auto"/>
                <w:szCs w:val="21"/>
                <w:highlight w:val="none"/>
              </w:rPr>
            </w:pPr>
            <w:r>
              <w:rPr>
                <w:rFonts w:hint="eastAsia" w:ascii="宋体" w:hAnsi="宋体"/>
                <w:color w:val="auto"/>
                <w:szCs w:val="21"/>
                <w:highlight w:val="none"/>
              </w:rPr>
              <w:t>项目施工方案</w:t>
            </w:r>
          </w:p>
        </w:tc>
        <w:tc>
          <w:tcPr>
            <w:tcW w:w="850" w:type="dxa"/>
            <w:vAlign w:val="center"/>
          </w:tcPr>
          <w:p>
            <w:pPr>
              <w:jc w:val="center"/>
              <w:rPr>
                <w:rFonts w:ascii="宋体" w:hAnsi="宋体"/>
                <w:color w:val="auto"/>
                <w:szCs w:val="21"/>
                <w:highlight w:val="none"/>
              </w:rPr>
            </w:pPr>
            <w:r>
              <w:rPr>
                <w:rFonts w:ascii="宋体" w:hAnsi="宋体"/>
                <w:color w:val="auto"/>
                <w:szCs w:val="21"/>
                <w:highlight w:val="none"/>
              </w:rPr>
              <w:t>0</w:t>
            </w:r>
            <w:r>
              <w:rPr>
                <w:rFonts w:hint="eastAsia" w:ascii="宋体" w:hAnsi="宋体"/>
                <w:color w:val="auto"/>
                <w:szCs w:val="21"/>
                <w:highlight w:val="none"/>
              </w:rPr>
              <w:t>～</w:t>
            </w:r>
            <w:r>
              <w:rPr>
                <w:rFonts w:ascii="宋体" w:hAnsi="宋体"/>
                <w:color w:val="auto"/>
                <w:szCs w:val="21"/>
                <w:highlight w:val="none"/>
              </w:rPr>
              <w:t>9</w:t>
            </w:r>
          </w:p>
        </w:tc>
        <w:tc>
          <w:tcPr>
            <w:tcW w:w="4961" w:type="dxa"/>
            <w:vAlign w:val="center"/>
          </w:tcPr>
          <w:p>
            <w:pPr>
              <w:jc w:val="left"/>
              <w:rPr>
                <w:color w:val="auto"/>
                <w:highlight w:val="none"/>
              </w:rPr>
            </w:pPr>
            <w:r>
              <w:rPr>
                <w:rFonts w:hint="eastAsia" w:ascii="宋体" w:hAnsi="宋体"/>
                <w:color w:val="auto"/>
                <w:szCs w:val="21"/>
                <w:highlight w:val="none"/>
              </w:rPr>
              <w:t>根据</w:t>
            </w:r>
            <w:r>
              <w:rPr>
                <w:rFonts w:ascii="宋体" w:hAnsi="宋体"/>
                <w:color w:val="auto"/>
                <w:szCs w:val="21"/>
                <w:highlight w:val="none"/>
              </w:rPr>
              <w:t>投标人对本项目</w:t>
            </w:r>
            <w:r>
              <w:rPr>
                <w:rFonts w:hint="eastAsia" w:ascii="宋体" w:hAnsi="宋体"/>
                <w:color w:val="auto"/>
                <w:szCs w:val="21"/>
                <w:highlight w:val="none"/>
              </w:rPr>
              <w:t>施工方案合理性、完整性、可操作性以及投入人员的合理性进行评分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42"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2519" w:type="dxa"/>
            <w:vAlign w:val="center"/>
          </w:tcPr>
          <w:p>
            <w:pPr>
              <w:rPr>
                <w:rFonts w:ascii="宋体" w:hAnsi="宋体"/>
                <w:color w:val="auto"/>
                <w:szCs w:val="21"/>
                <w:highlight w:val="none"/>
              </w:rPr>
            </w:pPr>
            <w:r>
              <w:rPr>
                <w:rFonts w:hint="eastAsia" w:ascii="宋体" w:hAnsi="宋体"/>
                <w:color w:val="auto"/>
                <w:szCs w:val="21"/>
                <w:highlight w:val="none"/>
              </w:rPr>
              <w:t>材料、设备的主要参数、可靠性、配置合理性</w:t>
            </w:r>
          </w:p>
        </w:tc>
        <w:tc>
          <w:tcPr>
            <w:tcW w:w="850" w:type="dxa"/>
            <w:vAlign w:val="center"/>
          </w:tcPr>
          <w:p>
            <w:pPr>
              <w:jc w:val="center"/>
              <w:rPr>
                <w:rFonts w:ascii="宋体" w:hAnsi="宋体"/>
                <w:color w:val="auto"/>
                <w:szCs w:val="21"/>
                <w:highlight w:val="none"/>
              </w:rPr>
            </w:pPr>
            <w:r>
              <w:rPr>
                <w:rFonts w:ascii="宋体" w:hAnsi="宋体"/>
                <w:color w:val="auto"/>
                <w:szCs w:val="21"/>
                <w:highlight w:val="none"/>
              </w:rPr>
              <w:t>0</w:t>
            </w:r>
            <w:r>
              <w:rPr>
                <w:rFonts w:hint="eastAsia" w:ascii="宋体" w:hAnsi="宋体"/>
                <w:color w:val="auto"/>
                <w:szCs w:val="21"/>
                <w:highlight w:val="none"/>
              </w:rPr>
              <w:t>～</w:t>
            </w:r>
            <w:r>
              <w:rPr>
                <w:rFonts w:ascii="宋体" w:hAnsi="宋体"/>
                <w:color w:val="auto"/>
                <w:szCs w:val="21"/>
                <w:highlight w:val="none"/>
              </w:rPr>
              <w:t>3</w:t>
            </w:r>
          </w:p>
        </w:tc>
        <w:tc>
          <w:tcPr>
            <w:tcW w:w="4961" w:type="dxa"/>
            <w:vAlign w:val="center"/>
          </w:tcPr>
          <w:p>
            <w:pPr>
              <w:jc w:val="left"/>
              <w:rPr>
                <w:rFonts w:ascii="宋体" w:hAnsi="宋体"/>
                <w:color w:val="auto"/>
                <w:szCs w:val="21"/>
                <w:highlight w:val="none"/>
              </w:rPr>
            </w:pPr>
            <w:r>
              <w:rPr>
                <w:rFonts w:hint="eastAsia" w:ascii="宋体" w:hAnsi="宋体"/>
                <w:color w:val="auto"/>
                <w:szCs w:val="21"/>
                <w:highlight w:val="none"/>
              </w:rPr>
              <w:t>根据</w:t>
            </w:r>
            <w:r>
              <w:rPr>
                <w:rFonts w:ascii="宋体" w:hAnsi="宋体"/>
                <w:color w:val="auto"/>
                <w:szCs w:val="21"/>
                <w:highlight w:val="none"/>
              </w:rPr>
              <w:t>投标人</w:t>
            </w:r>
            <w:r>
              <w:rPr>
                <w:rFonts w:hint="eastAsia" w:ascii="宋体" w:hAnsi="宋体"/>
                <w:color w:val="auto"/>
                <w:szCs w:val="21"/>
                <w:highlight w:val="none"/>
              </w:rPr>
              <w:t>采用的材料以及投入设备的主要参数、可靠性、配置合理性进行评分需满足本招标文件主要设备技术要求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42" w:type="dxa"/>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2519" w:type="dxa"/>
            <w:vAlign w:val="center"/>
          </w:tcPr>
          <w:p>
            <w:pPr>
              <w:rPr>
                <w:rFonts w:ascii="宋体" w:hAnsi="宋体"/>
                <w:color w:val="auto"/>
                <w:szCs w:val="21"/>
                <w:highlight w:val="none"/>
              </w:rPr>
            </w:pPr>
            <w:r>
              <w:rPr>
                <w:rFonts w:hint="eastAsia" w:ascii="宋体" w:hAnsi="宋体"/>
                <w:color w:val="auto"/>
                <w:szCs w:val="21"/>
                <w:highlight w:val="none"/>
              </w:rPr>
              <w:t>服务响应保障措施和质量保证承诺</w:t>
            </w:r>
          </w:p>
        </w:tc>
        <w:tc>
          <w:tcPr>
            <w:tcW w:w="850" w:type="dxa"/>
            <w:vAlign w:val="center"/>
          </w:tcPr>
          <w:p>
            <w:pPr>
              <w:jc w:val="center"/>
              <w:rPr>
                <w:rFonts w:ascii="宋体" w:hAnsi="宋体"/>
                <w:color w:val="auto"/>
                <w:szCs w:val="21"/>
                <w:highlight w:val="none"/>
              </w:rPr>
            </w:pPr>
            <w:r>
              <w:rPr>
                <w:rFonts w:ascii="宋体" w:hAnsi="宋体"/>
                <w:color w:val="auto"/>
                <w:szCs w:val="21"/>
                <w:highlight w:val="none"/>
              </w:rPr>
              <w:t>0</w:t>
            </w:r>
            <w:r>
              <w:rPr>
                <w:rFonts w:hint="eastAsia" w:ascii="宋体" w:hAnsi="宋体"/>
                <w:color w:val="auto"/>
                <w:szCs w:val="21"/>
                <w:highlight w:val="none"/>
              </w:rPr>
              <w:t>～</w:t>
            </w:r>
            <w:r>
              <w:rPr>
                <w:rFonts w:ascii="宋体" w:hAnsi="宋体"/>
                <w:color w:val="auto"/>
                <w:szCs w:val="21"/>
                <w:highlight w:val="none"/>
              </w:rPr>
              <w:t>2</w:t>
            </w:r>
          </w:p>
        </w:tc>
        <w:tc>
          <w:tcPr>
            <w:tcW w:w="4961" w:type="dxa"/>
            <w:vAlign w:val="center"/>
          </w:tcPr>
          <w:p>
            <w:pPr>
              <w:widowControl/>
              <w:spacing w:line="320" w:lineRule="exact"/>
              <w:jc w:val="left"/>
              <w:rPr>
                <w:rFonts w:ascii="宋体" w:hAnsi="宋体"/>
                <w:color w:val="auto"/>
                <w:szCs w:val="21"/>
                <w:highlight w:val="none"/>
              </w:rPr>
            </w:pPr>
            <w:r>
              <w:rPr>
                <w:rFonts w:hint="eastAsia" w:ascii="宋体" w:hAnsi="宋体"/>
                <w:color w:val="auto"/>
                <w:szCs w:val="21"/>
                <w:highlight w:val="none"/>
              </w:rPr>
              <w:t>根据投标人针对本项目的培训支持、售后服务体系、运维管理流程方法、应急预案措施和服务承诺进行评分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42"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2519" w:type="dxa"/>
            <w:vAlign w:val="center"/>
          </w:tcPr>
          <w:p>
            <w:pPr>
              <w:rPr>
                <w:rFonts w:ascii="宋体" w:hAnsi="宋体"/>
                <w:color w:val="auto"/>
                <w:szCs w:val="21"/>
                <w:highlight w:val="none"/>
              </w:rPr>
            </w:pPr>
            <w:r>
              <w:rPr>
                <w:rFonts w:hint="eastAsia" w:ascii="宋体" w:hAnsi="宋体"/>
                <w:color w:val="auto"/>
                <w:szCs w:val="21"/>
                <w:highlight w:val="none"/>
              </w:rPr>
              <w:t>安全保证体系及安全文明施工措施要点</w:t>
            </w:r>
          </w:p>
        </w:tc>
        <w:tc>
          <w:tcPr>
            <w:tcW w:w="850" w:type="dxa"/>
            <w:vAlign w:val="center"/>
          </w:tcPr>
          <w:p>
            <w:pPr>
              <w:jc w:val="center"/>
              <w:rPr>
                <w:rFonts w:ascii="宋体" w:hAnsi="宋体"/>
                <w:color w:val="auto"/>
                <w:szCs w:val="21"/>
                <w:highlight w:val="none"/>
              </w:rPr>
            </w:pPr>
            <w:r>
              <w:rPr>
                <w:rFonts w:ascii="宋体" w:hAnsi="宋体"/>
                <w:color w:val="auto"/>
                <w:szCs w:val="21"/>
                <w:highlight w:val="none"/>
              </w:rPr>
              <w:t>0</w:t>
            </w:r>
            <w:r>
              <w:rPr>
                <w:rFonts w:hint="eastAsia" w:ascii="宋体" w:hAnsi="宋体"/>
                <w:color w:val="auto"/>
                <w:szCs w:val="21"/>
                <w:highlight w:val="none"/>
              </w:rPr>
              <w:t>～</w:t>
            </w:r>
            <w:r>
              <w:rPr>
                <w:rFonts w:ascii="宋体" w:hAnsi="宋体"/>
                <w:color w:val="auto"/>
                <w:szCs w:val="21"/>
                <w:highlight w:val="none"/>
              </w:rPr>
              <w:t>2</w:t>
            </w:r>
          </w:p>
        </w:tc>
        <w:tc>
          <w:tcPr>
            <w:tcW w:w="4961" w:type="dxa"/>
            <w:vAlign w:val="center"/>
          </w:tcPr>
          <w:p>
            <w:pPr>
              <w:jc w:val="left"/>
              <w:rPr>
                <w:rFonts w:ascii="宋体" w:hAnsi="宋体"/>
                <w:color w:val="auto"/>
                <w:szCs w:val="21"/>
                <w:highlight w:val="none"/>
              </w:rPr>
            </w:pPr>
            <w:r>
              <w:rPr>
                <w:rFonts w:hint="eastAsia" w:ascii="宋体" w:hAnsi="宋体"/>
                <w:color w:val="auto"/>
                <w:szCs w:val="21"/>
                <w:highlight w:val="none"/>
              </w:rPr>
              <w:t>根据投标单位的安全体系和措施酌情评分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42"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2519" w:type="dxa"/>
            <w:vAlign w:val="center"/>
          </w:tcPr>
          <w:p>
            <w:pPr>
              <w:rPr>
                <w:rFonts w:ascii="宋体" w:hAnsi="宋体"/>
                <w:color w:val="auto"/>
                <w:szCs w:val="21"/>
                <w:highlight w:val="none"/>
              </w:rPr>
            </w:pPr>
            <w:r>
              <w:rPr>
                <w:rFonts w:hint="eastAsia" w:ascii="宋体" w:hAnsi="宋体"/>
                <w:color w:val="auto"/>
                <w:szCs w:val="21"/>
                <w:highlight w:val="none"/>
              </w:rPr>
              <w:t>工程量清单</w:t>
            </w:r>
          </w:p>
        </w:tc>
        <w:tc>
          <w:tcPr>
            <w:tcW w:w="850" w:type="dxa"/>
            <w:vAlign w:val="center"/>
          </w:tcPr>
          <w:p>
            <w:pPr>
              <w:jc w:val="center"/>
              <w:rPr>
                <w:rFonts w:ascii="宋体" w:hAnsi="宋体"/>
                <w:color w:val="auto"/>
                <w:szCs w:val="21"/>
                <w:highlight w:val="none"/>
              </w:rPr>
            </w:pPr>
            <w:r>
              <w:rPr>
                <w:rFonts w:hint="eastAsia" w:ascii="宋体" w:hAnsi="宋体"/>
                <w:color w:val="auto"/>
                <w:szCs w:val="21"/>
                <w:highlight w:val="none"/>
              </w:rPr>
              <w:t>0～</w:t>
            </w:r>
            <w:r>
              <w:rPr>
                <w:rFonts w:ascii="宋体" w:hAnsi="宋体"/>
                <w:color w:val="auto"/>
                <w:szCs w:val="21"/>
                <w:highlight w:val="none"/>
              </w:rPr>
              <w:t>5</w:t>
            </w:r>
          </w:p>
        </w:tc>
        <w:tc>
          <w:tcPr>
            <w:tcW w:w="4961" w:type="dxa"/>
            <w:vAlign w:val="center"/>
          </w:tcPr>
          <w:p>
            <w:pPr>
              <w:jc w:val="left"/>
              <w:rPr>
                <w:rFonts w:ascii="宋体" w:hAnsi="宋体"/>
                <w:color w:val="auto"/>
                <w:szCs w:val="21"/>
                <w:highlight w:val="none"/>
              </w:rPr>
            </w:pPr>
            <w:r>
              <w:rPr>
                <w:rFonts w:hint="eastAsia" w:ascii="宋体" w:hAnsi="宋体"/>
                <w:color w:val="auto"/>
                <w:szCs w:val="21"/>
                <w:highlight w:val="none"/>
              </w:rPr>
              <w:t>根据投标人提供的工程量清单的完成整性，与技术要求的匹配性进行评分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42"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2519" w:type="dxa"/>
            <w:vAlign w:val="center"/>
          </w:tcPr>
          <w:p>
            <w:pPr>
              <w:rPr>
                <w:rFonts w:ascii="宋体" w:hAnsi="宋体"/>
                <w:color w:val="auto"/>
                <w:szCs w:val="21"/>
                <w:highlight w:val="none"/>
              </w:rPr>
            </w:pPr>
            <w:r>
              <w:rPr>
                <w:rFonts w:hint="eastAsia" w:ascii="宋体" w:hAnsi="宋体"/>
                <w:color w:val="auto"/>
                <w:szCs w:val="21"/>
                <w:highlight w:val="none"/>
              </w:rPr>
              <w:t>类似工程实施业绩情况</w:t>
            </w:r>
          </w:p>
        </w:tc>
        <w:tc>
          <w:tcPr>
            <w:tcW w:w="850" w:type="dxa"/>
            <w:vAlign w:val="center"/>
          </w:tcPr>
          <w:p>
            <w:pPr>
              <w:jc w:val="center"/>
              <w:rPr>
                <w:rFonts w:ascii="宋体" w:hAnsi="宋体"/>
                <w:color w:val="auto"/>
                <w:szCs w:val="21"/>
                <w:highlight w:val="none"/>
              </w:rPr>
            </w:pPr>
            <w:r>
              <w:rPr>
                <w:rFonts w:hint="eastAsia" w:ascii="宋体" w:hAnsi="宋体"/>
                <w:color w:val="auto"/>
                <w:szCs w:val="21"/>
                <w:highlight w:val="none"/>
              </w:rPr>
              <w:t>0～4</w:t>
            </w:r>
          </w:p>
        </w:tc>
        <w:tc>
          <w:tcPr>
            <w:tcW w:w="4961" w:type="dxa"/>
            <w:vAlign w:val="center"/>
          </w:tcPr>
          <w:p>
            <w:pPr>
              <w:rPr>
                <w:rFonts w:ascii="宋体" w:hAnsi="宋体"/>
                <w:color w:val="auto"/>
                <w:szCs w:val="21"/>
                <w:highlight w:val="none"/>
              </w:rPr>
            </w:pPr>
            <w:r>
              <w:rPr>
                <w:rFonts w:hint="eastAsia" w:ascii="宋体" w:hAnsi="宋体"/>
                <w:color w:val="auto"/>
                <w:szCs w:val="21"/>
                <w:highlight w:val="none"/>
              </w:rPr>
              <w:t>2017年以来</w:t>
            </w:r>
            <w:r>
              <w:rPr>
                <w:rFonts w:ascii="宋体" w:hAnsi="宋体"/>
                <w:color w:val="auto"/>
                <w:szCs w:val="21"/>
                <w:highlight w:val="none"/>
              </w:rPr>
              <w:t>0.1</w:t>
            </w:r>
            <w:r>
              <w:rPr>
                <w:rFonts w:hint="eastAsia" w:ascii="宋体" w:hAnsi="宋体"/>
                <w:color w:val="auto"/>
                <w:szCs w:val="21"/>
                <w:highlight w:val="none"/>
              </w:rPr>
              <w:t>MWp以上（含）分布式光伏发电项目业绩，每有1个业绩得2分，最高得4分（投标文件中提供合同复印件，已签订时间为准）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42"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2519" w:type="dxa"/>
            <w:vAlign w:val="center"/>
          </w:tcPr>
          <w:p>
            <w:pPr>
              <w:rPr>
                <w:rFonts w:ascii="宋体" w:hAnsi="宋体"/>
                <w:color w:val="auto"/>
                <w:szCs w:val="21"/>
                <w:highlight w:val="none"/>
              </w:rPr>
            </w:pPr>
            <w:r>
              <w:rPr>
                <w:rFonts w:hint="eastAsia" w:ascii="宋体" w:hAnsi="宋体"/>
                <w:color w:val="auto"/>
                <w:szCs w:val="21"/>
                <w:highlight w:val="none"/>
              </w:rPr>
              <w:t>增值服务</w:t>
            </w:r>
          </w:p>
        </w:tc>
        <w:tc>
          <w:tcPr>
            <w:tcW w:w="850" w:type="dxa"/>
            <w:vAlign w:val="center"/>
          </w:tcPr>
          <w:p>
            <w:pPr>
              <w:jc w:val="center"/>
              <w:rPr>
                <w:rFonts w:ascii="宋体" w:hAnsi="宋体"/>
                <w:color w:val="auto"/>
                <w:szCs w:val="21"/>
                <w:highlight w:val="none"/>
              </w:rPr>
            </w:pPr>
            <w:r>
              <w:rPr>
                <w:rFonts w:hint="eastAsia" w:ascii="宋体" w:hAnsi="宋体"/>
                <w:color w:val="auto"/>
                <w:szCs w:val="21"/>
                <w:highlight w:val="none"/>
              </w:rPr>
              <w:t>0～</w:t>
            </w:r>
            <w:r>
              <w:rPr>
                <w:rFonts w:ascii="宋体" w:hAnsi="宋体"/>
                <w:color w:val="auto"/>
                <w:szCs w:val="21"/>
                <w:highlight w:val="none"/>
              </w:rPr>
              <w:t>3</w:t>
            </w:r>
          </w:p>
        </w:tc>
        <w:tc>
          <w:tcPr>
            <w:tcW w:w="4961" w:type="dxa"/>
            <w:vAlign w:val="center"/>
          </w:tcPr>
          <w:p>
            <w:pPr>
              <w:rPr>
                <w:rFonts w:ascii="宋体" w:hAnsi="宋体"/>
                <w:color w:val="auto"/>
                <w:szCs w:val="21"/>
                <w:highlight w:val="none"/>
              </w:rPr>
            </w:pPr>
            <w:r>
              <w:rPr>
                <w:rFonts w:hint="eastAsia" w:ascii="宋体" w:hAnsi="宋体"/>
                <w:color w:val="auto"/>
                <w:szCs w:val="21"/>
                <w:highlight w:val="none"/>
              </w:rPr>
              <w:t>根据投标人对数化字平台、项目运维等其他增值服务进行评分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42"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2519" w:type="dxa"/>
            <w:vAlign w:val="center"/>
          </w:tcPr>
          <w:p>
            <w:pPr>
              <w:rPr>
                <w:rFonts w:ascii="宋体" w:hAnsi="宋体"/>
                <w:color w:val="auto"/>
                <w:szCs w:val="21"/>
                <w:highlight w:val="none"/>
              </w:rPr>
            </w:pPr>
            <w:r>
              <w:rPr>
                <w:rFonts w:hint="eastAsia" w:ascii="宋体" w:hAnsi="宋体"/>
                <w:color w:val="auto"/>
                <w:szCs w:val="21"/>
                <w:highlight w:val="none"/>
              </w:rPr>
              <w:t>售后服务</w:t>
            </w:r>
          </w:p>
        </w:tc>
        <w:tc>
          <w:tcPr>
            <w:tcW w:w="850" w:type="dxa"/>
            <w:vAlign w:val="center"/>
          </w:tcPr>
          <w:p>
            <w:pPr>
              <w:jc w:val="center"/>
              <w:rPr>
                <w:rFonts w:ascii="宋体" w:hAnsi="宋体"/>
                <w:color w:val="auto"/>
                <w:szCs w:val="21"/>
                <w:highlight w:val="none"/>
              </w:rPr>
            </w:pPr>
            <w:r>
              <w:rPr>
                <w:rFonts w:hint="eastAsia" w:ascii="宋体" w:hAnsi="宋体"/>
                <w:color w:val="auto"/>
                <w:szCs w:val="21"/>
                <w:highlight w:val="none"/>
              </w:rPr>
              <w:t>0～</w:t>
            </w:r>
            <w:r>
              <w:rPr>
                <w:rFonts w:ascii="宋体" w:hAnsi="宋体"/>
                <w:color w:val="auto"/>
                <w:szCs w:val="21"/>
                <w:highlight w:val="none"/>
              </w:rPr>
              <w:t>3</w:t>
            </w:r>
          </w:p>
        </w:tc>
        <w:tc>
          <w:tcPr>
            <w:tcW w:w="4961" w:type="dxa"/>
            <w:vAlign w:val="center"/>
          </w:tcPr>
          <w:p>
            <w:pPr>
              <w:rPr>
                <w:rFonts w:ascii="宋体" w:hAnsi="宋体"/>
                <w:color w:val="auto"/>
                <w:szCs w:val="21"/>
                <w:highlight w:val="none"/>
              </w:rPr>
            </w:pPr>
            <w:r>
              <w:rPr>
                <w:rFonts w:hint="eastAsia" w:ascii="宋体" w:hAnsi="宋体"/>
                <w:color w:val="auto"/>
                <w:szCs w:val="21"/>
                <w:highlight w:val="none"/>
              </w:rPr>
              <w:t>质保期在二年的基础上每增加1年得1分，最高得3分</w:t>
            </w:r>
          </w:p>
        </w:tc>
      </w:tr>
    </w:tbl>
    <w:p>
      <w:pPr>
        <w:autoSpaceDE w:val="0"/>
        <w:autoSpaceDN w:val="0"/>
        <w:adjustRightInd w:val="0"/>
        <w:snapToGrid w:val="0"/>
        <w:spacing w:line="440" w:lineRule="exact"/>
        <w:ind w:firstLine="420" w:firstLineChars="200"/>
        <w:rPr>
          <w:rFonts w:ascii="宋体" w:hAnsi="宋体"/>
          <w:color w:val="auto"/>
          <w:szCs w:val="21"/>
          <w:highlight w:val="none"/>
        </w:rPr>
      </w:pPr>
      <w:r>
        <w:rPr>
          <w:rFonts w:hint="eastAsia" w:ascii="宋体" w:hAnsi="宋体"/>
          <w:color w:val="auto"/>
          <w:kern w:val="0"/>
          <w:szCs w:val="21"/>
          <w:highlight w:val="none"/>
        </w:rPr>
        <w:t>技术资信标评分</w:t>
      </w:r>
      <w:r>
        <w:rPr>
          <w:rFonts w:hint="eastAsia" w:ascii="宋体" w:hAnsi="宋体"/>
          <w:color w:val="auto"/>
          <w:szCs w:val="21"/>
          <w:highlight w:val="none"/>
        </w:rPr>
        <w:t>由各评标委员会成员按评标细则，采用记名方法自行判定评分，如评标委员会成员某个单项的评分超过所规定的分值范围，则该张打分表无效。</w:t>
      </w:r>
    </w:p>
    <w:p>
      <w:pPr>
        <w:autoSpaceDE w:val="0"/>
        <w:autoSpaceDN w:val="0"/>
        <w:adjustRightInd w:val="0"/>
        <w:spacing w:line="44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分数汇总时，</w:t>
      </w:r>
      <w:r>
        <w:rPr>
          <w:rFonts w:hint="eastAsia" w:ascii="宋体" w:hAnsi="宋体"/>
          <w:color w:val="auto"/>
          <w:szCs w:val="21"/>
          <w:highlight w:val="none"/>
        </w:rPr>
        <w:t>所有评委的有效评分的算术平均数</w:t>
      </w:r>
      <w:r>
        <w:rPr>
          <w:rFonts w:hint="eastAsia" w:ascii="宋体" w:hAnsi="宋体"/>
          <w:color w:val="auto"/>
          <w:kern w:val="0"/>
          <w:szCs w:val="21"/>
          <w:highlight w:val="none"/>
        </w:rPr>
        <w:t>，即为投标人的技术资信标得分。投标人技术资信标得分保留两位小数。</w:t>
      </w:r>
    </w:p>
    <w:p>
      <w:pPr>
        <w:autoSpaceDE w:val="0"/>
        <w:autoSpaceDN w:val="0"/>
        <w:adjustRightInd w:val="0"/>
        <w:snapToGrid w:val="0"/>
        <w:spacing w:line="440" w:lineRule="exact"/>
        <w:ind w:firstLine="420" w:firstLineChars="200"/>
        <w:jc w:val="left"/>
        <w:outlineLvl w:val="0"/>
        <w:rPr>
          <w:rFonts w:ascii="宋体" w:hAnsi="宋体"/>
          <w:color w:val="auto"/>
          <w:kern w:val="0"/>
          <w:szCs w:val="21"/>
          <w:highlight w:val="none"/>
        </w:rPr>
      </w:pPr>
      <w:r>
        <w:rPr>
          <w:rFonts w:hint="eastAsia" w:ascii="宋体" w:hAnsi="宋体"/>
          <w:color w:val="auto"/>
          <w:kern w:val="0"/>
          <w:szCs w:val="21"/>
          <w:highlight w:val="none"/>
        </w:rPr>
        <w:t>2、商务报价评分（0-</w:t>
      </w:r>
      <w:r>
        <w:rPr>
          <w:rFonts w:ascii="宋体" w:hAnsi="宋体"/>
          <w:color w:val="auto"/>
          <w:kern w:val="0"/>
          <w:szCs w:val="21"/>
          <w:highlight w:val="none"/>
        </w:rPr>
        <w:t>6</w:t>
      </w:r>
      <w:r>
        <w:rPr>
          <w:rFonts w:hint="eastAsia" w:ascii="宋体" w:hAnsi="宋体"/>
          <w:color w:val="auto"/>
          <w:kern w:val="0"/>
          <w:szCs w:val="21"/>
          <w:highlight w:val="none"/>
        </w:rPr>
        <w:t>0分）</w:t>
      </w:r>
    </w:p>
    <w:p>
      <w:pPr>
        <w:autoSpaceDE w:val="0"/>
        <w:autoSpaceDN w:val="0"/>
        <w:adjustRightInd w:val="0"/>
        <w:snapToGrid w:val="0"/>
        <w:spacing w:line="440" w:lineRule="exact"/>
        <w:ind w:firstLine="420" w:firstLineChars="200"/>
        <w:jc w:val="left"/>
        <w:outlineLvl w:val="0"/>
        <w:rPr>
          <w:rFonts w:hAnsi="宋体"/>
          <w:color w:val="auto"/>
          <w:szCs w:val="21"/>
          <w:highlight w:val="none"/>
        </w:rPr>
      </w:pPr>
      <w:r>
        <w:rPr>
          <w:rFonts w:hint="eastAsia" w:hAnsi="宋体"/>
          <w:color w:val="auto"/>
          <w:szCs w:val="21"/>
          <w:highlight w:val="none"/>
        </w:rPr>
        <w:t>（1）商务标评审应在报价范围口径一致的基础上进行。</w:t>
      </w:r>
    </w:p>
    <w:p>
      <w:pPr>
        <w:autoSpaceDE w:val="0"/>
        <w:autoSpaceDN w:val="0"/>
        <w:adjustRightInd w:val="0"/>
        <w:snapToGrid w:val="0"/>
        <w:spacing w:line="440" w:lineRule="exact"/>
        <w:ind w:firstLine="420" w:firstLineChars="200"/>
        <w:jc w:val="left"/>
        <w:outlineLvl w:val="0"/>
        <w:rPr>
          <w:rFonts w:hAnsi="宋体"/>
          <w:color w:val="auto"/>
          <w:szCs w:val="21"/>
          <w:highlight w:val="none"/>
        </w:rPr>
      </w:pPr>
      <w:r>
        <w:rPr>
          <w:rFonts w:hint="eastAsia" w:hAnsi="宋体"/>
          <w:color w:val="auto"/>
          <w:szCs w:val="21"/>
          <w:highlight w:val="none"/>
        </w:rPr>
        <w:t>（2）按各投标人的投标总价进行商务标的评分</w:t>
      </w:r>
    </w:p>
    <w:p>
      <w:pPr>
        <w:adjustRightInd w:val="0"/>
        <w:snapToGrid w:val="0"/>
        <w:spacing w:line="420" w:lineRule="exact"/>
        <w:ind w:firstLine="420" w:firstLineChars="200"/>
        <w:rPr>
          <w:rFonts w:hAnsi="宋体"/>
          <w:color w:val="auto"/>
          <w:szCs w:val="21"/>
          <w:highlight w:val="none"/>
        </w:rPr>
      </w:pPr>
      <w:r>
        <w:rPr>
          <w:rFonts w:hint="eastAsia" w:hAnsi="宋体"/>
          <w:color w:val="auto"/>
          <w:szCs w:val="21"/>
          <w:highlight w:val="none"/>
        </w:rPr>
        <w:t>评标基准价＝有效投标人</w:t>
      </w:r>
      <w:r>
        <w:rPr>
          <w:rFonts w:hint="eastAsia" w:ascii="宋体" w:hAnsi="宋体"/>
          <w:color w:val="auto"/>
          <w:szCs w:val="21"/>
          <w:highlight w:val="none"/>
        </w:rPr>
        <w:t>投标总价的算术平均价</w:t>
      </w:r>
    </w:p>
    <w:p>
      <w:pPr>
        <w:adjustRightInd w:val="0"/>
        <w:snapToGrid w:val="0"/>
        <w:spacing w:line="420" w:lineRule="exact"/>
        <w:ind w:firstLine="411" w:firstLineChars="196"/>
        <w:rPr>
          <w:rFonts w:hAnsi="宋体"/>
          <w:color w:val="auto"/>
          <w:szCs w:val="21"/>
          <w:highlight w:val="none"/>
        </w:rPr>
      </w:pPr>
      <w:r>
        <w:rPr>
          <w:rFonts w:hint="eastAsia" w:hAnsi="宋体"/>
          <w:color w:val="auto"/>
          <w:szCs w:val="21"/>
          <w:highlight w:val="none"/>
        </w:rPr>
        <w:t>各有效投标人的</w:t>
      </w:r>
      <w:r>
        <w:rPr>
          <w:rFonts w:hint="eastAsia" w:ascii="宋体" w:hAnsi="宋体"/>
          <w:color w:val="auto"/>
          <w:szCs w:val="21"/>
          <w:highlight w:val="none"/>
        </w:rPr>
        <w:t>投标总价</w:t>
      </w:r>
      <w:r>
        <w:rPr>
          <w:rFonts w:hint="eastAsia" w:hAnsi="宋体"/>
          <w:color w:val="auto"/>
          <w:szCs w:val="21"/>
          <w:highlight w:val="none"/>
        </w:rPr>
        <w:t>与评标基准价对比，计算出商务报价评分值，即：</w:t>
      </w:r>
    </w:p>
    <w:p>
      <w:pPr>
        <w:adjustRightInd w:val="0"/>
        <w:snapToGrid w:val="0"/>
        <w:spacing w:line="420" w:lineRule="exact"/>
        <w:ind w:firstLine="840" w:firstLineChars="400"/>
        <w:rPr>
          <w:rFonts w:hAnsi="宋体"/>
          <w:color w:val="auto"/>
          <w:szCs w:val="21"/>
          <w:highlight w:val="none"/>
        </w:rPr>
      </w:pPr>
      <w:r>
        <w:rPr>
          <w:rFonts w:hAnsi="宋体"/>
          <w:color w:val="auto"/>
          <w:szCs w:val="21"/>
          <w:highlight w:val="none"/>
        </w:rPr>
        <w:t>a.</w:t>
      </w:r>
      <w:r>
        <w:rPr>
          <w:rFonts w:hint="eastAsia" w:hAnsi="宋体"/>
          <w:color w:val="auto"/>
          <w:szCs w:val="21"/>
          <w:highlight w:val="none"/>
        </w:rPr>
        <w:t>投标人的投标总价等于评标基准价的得满分</w:t>
      </w:r>
      <w:r>
        <w:rPr>
          <w:rFonts w:hAnsi="宋体"/>
          <w:color w:val="auto"/>
          <w:szCs w:val="21"/>
          <w:highlight w:val="none"/>
        </w:rPr>
        <w:t>60</w:t>
      </w:r>
      <w:r>
        <w:rPr>
          <w:rFonts w:hint="eastAsia" w:hAnsi="宋体"/>
          <w:color w:val="auto"/>
          <w:szCs w:val="21"/>
          <w:highlight w:val="none"/>
        </w:rPr>
        <w:t>分；</w:t>
      </w:r>
    </w:p>
    <w:p>
      <w:pPr>
        <w:adjustRightInd w:val="0"/>
        <w:snapToGrid w:val="0"/>
        <w:spacing w:line="420" w:lineRule="exact"/>
        <w:ind w:firstLine="840" w:firstLineChars="400"/>
        <w:rPr>
          <w:rFonts w:hAnsi="宋体"/>
          <w:color w:val="auto"/>
          <w:szCs w:val="21"/>
          <w:highlight w:val="none"/>
        </w:rPr>
      </w:pPr>
      <w:r>
        <w:rPr>
          <w:rFonts w:hAnsi="宋体"/>
          <w:color w:val="auto"/>
          <w:szCs w:val="21"/>
          <w:highlight w:val="none"/>
        </w:rPr>
        <w:t>b.</w:t>
      </w:r>
      <w:r>
        <w:rPr>
          <w:rFonts w:hint="eastAsia" w:hAnsi="宋体"/>
          <w:color w:val="auto"/>
          <w:szCs w:val="21"/>
          <w:highlight w:val="none"/>
        </w:rPr>
        <w:t>投标人的投标总价高于评标基准价的，每上升一个百分点扣</w:t>
      </w:r>
      <w:r>
        <w:rPr>
          <w:rFonts w:hAnsi="宋体"/>
          <w:color w:val="auto"/>
          <w:szCs w:val="21"/>
          <w:highlight w:val="none"/>
        </w:rPr>
        <w:t>1</w:t>
      </w:r>
      <w:r>
        <w:rPr>
          <w:rFonts w:hint="eastAsia" w:hAnsi="宋体"/>
          <w:color w:val="auto"/>
          <w:szCs w:val="21"/>
          <w:highlight w:val="none"/>
        </w:rPr>
        <w:t>分；</w:t>
      </w:r>
    </w:p>
    <w:p>
      <w:pPr>
        <w:adjustRightInd w:val="0"/>
        <w:snapToGrid w:val="0"/>
        <w:spacing w:line="420" w:lineRule="exact"/>
        <w:ind w:firstLine="840" w:firstLineChars="400"/>
        <w:rPr>
          <w:rFonts w:hAnsi="宋体"/>
          <w:color w:val="auto"/>
          <w:szCs w:val="21"/>
          <w:highlight w:val="none"/>
        </w:rPr>
      </w:pPr>
      <w:r>
        <w:rPr>
          <w:rFonts w:hint="eastAsia" w:hAnsi="宋体"/>
          <w:color w:val="auto"/>
          <w:szCs w:val="21"/>
          <w:highlight w:val="none"/>
        </w:rPr>
        <w:t>c</w:t>
      </w:r>
      <w:r>
        <w:rPr>
          <w:rFonts w:hAnsi="宋体"/>
          <w:color w:val="auto"/>
          <w:szCs w:val="21"/>
          <w:highlight w:val="none"/>
        </w:rPr>
        <w:t>.</w:t>
      </w:r>
      <w:r>
        <w:rPr>
          <w:rFonts w:hint="eastAsia" w:hAnsi="宋体"/>
          <w:color w:val="auto"/>
          <w:szCs w:val="21"/>
          <w:highlight w:val="none"/>
        </w:rPr>
        <w:t>投标人的投标总价低于评标基准价的，每下降一个百分点扣</w:t>
      </w:r>
      <w:r>
        <w:rPr>
          <w:rFonts w:hAnsi="宋体"/>
          <w:color w:val="auto"/>
          <w:szCs w:val="21"/>
          <w:highlight w:val="none"/>
        </w:rPr>
        <w:t>0.5</w:t>
      </w:r>
      <w:r>
        <w:rPr>
          <w:rFonts w:hint="eastAsia" w:hAnsi="宋体"/>
          <w:color w:val="auto"/>
          <w:szCs w:val="21"/>
          <w:highlight w:val="none"/>
        </w:rPr>
        <w:t>分</w:t>
      </w:r>
    </w:p>
    <w:p>
      <w:pPr>
        <w:adjustRightInd w:val="0"/>
        <w:snapToGrid w:val="0"/>
        <w:spacing w:line="420" w:lineRule="exact"/>
        <w:ind w:firstLine="420" w:firstLineChars="200"/>
        <w:rPr>
          <w:rFonts w:hAnsi="宋体"/>
          <w:color w:val="auto"/>
          <w:szCs w:val="21"/>
          <w:highlight w:val="none"/>
        </w:rPr>
      </w:pPr>
      <w:r>
        <w:rPr>
          <w:rFonts w:hint="eastAsia" w:hAnsi="宋体"/>
          <w:color w:val="auto"/>
          <w:szCs w:val="21"/>
          <w:highlight w:val="none"/>
        </w:rPr>
        <w:t>以上评分不足一个百分点时，使用直线插入法计算。评分保留小数</w:t>
      </w:r>
      <w:r>
        <w:rPr>
          <w:rFonts w:hAnsi="宋体"/>
          <w:color w:val="auto"/>
          <w:szCs w:val="21"/>
          <w:highlight w:val="none"/>
        </w:rPr>
        <w:t>2</w:t>
      </w:r>
      <w:r>
        <w:rPr>
          <w:rFonts w:hint="eastAsia" w:hAnsi="宋体"/>
          <w:color w:val="auto"/>
          <w:szCs w:val="21"/>
          <w:highlight w:val="none"/>
        </w:rPr>
        <w:t>位。</w:t>
      </w:r>
    </w:p>
    <w:p>
      <w:pPr>
        <w:autoSpaceDE w:val="0"/>
        <w:autoSpaceDN w:val="0"/>
        <w:adjustRightInd w:val="0"/>
        <w:spacing w:line="440" w:lineRule="exact"/>
        <w:ind w:firstLine="480"/>
        <w:rPr>
          <w:rFonts w:ascii="宋体" w:hAnsi="宋体"/>
          <w:color w:val="auto"/>
          <w:kern w:val="0"/>
          <w:szCs w:val="21"/>
          <w:highlight w:val="none"/>
        </w:rPr>
      </w:pPr>
      <w:r>
        <w:rPr>
          <w:rFonts w:hint="eastAsia" w:ascii="宋体" w:hAnsi="宋体"/>
          <w:color w:val="auto"/>
          <w:szCs w:val="21"/>
          <w:highlight w:val="none"/>
        </w:rPr>
        <w:t>3、投标人的综合得分为技术资信、商务二部分得分的总计，由专人进行计算和复核。投标人最终得分</w:t>
      </w:r>
      <w:r>
        <w:rPr>
          <w:rFonts w:hint="eastAsia" w:ascii="宋体" w:hAnsi="宋体"/>
          <w:color w:val="auto"/>
          <w:kern w:val="0"/>
          <w:szCs w:val="21"/>
          <w:highlight w:val="none"/>
        </w:rPr>
        <w:t>保留两位小数。</w:t>
      </w:r>
    </w:p>
    <w:p>
      <w:pPr>
        <w:autoSpaceDE w:val="0"/>
        <w:autoSpaceDN w:val="0"/>
        <w:adjustRightInd w:val="0"/>
        <w:spacing w:line="440" w:lineRule="exact"/>
        <w:ind w:firstLine="426"/>
        <w:rPr>
          <w:rFonts w:ascii="宋体" w:hAnsi="宋体"/>
          <w:color w:val="auto"/>
          <w:szCs w:val="21"/>
          <w:highlight w:val="none"/>
        </w:rPr>
      </w:pPr>
      <w:r>
        <w:rPr>
          <w:rFonts w:hint="eastAsia" w:ascii="宋体" w:hAnsi="宋体"/>
          <w:b/>
          <w:color w:val="auto"/>
          <w:szCs w:val="21"/>
          <w:highlight w:val="none"/>
        </w:rPr>
        <w:t>第七条</w:t>
      </w:r>
      <w:r>
        <w:rPr>
          <w:rFonts w:hint="eastAsia" w:ascii="宋体" w:hAnsi="宋体"/>
          <w:color w:val="auto"/>
          <w:szCs w:val="21"/>
          <w:highlight w:val="none"/>
        </w:rPr>
        <w:t>、评标过程保密，各评标人员及工作人员应严格遵守纪律，不得泄露任何评标信息。</w:t>
      </w:r>
    </w:p>
    <w:p>
      <w:pPr>
        <w:spacing w:line="432" w:lineRule="auto"/>
        <w:ind w:left="210" w:leftChars="100" w:firstLine="211" w:firstLineChars="100"/>
        <w:rPr>
          <w:rFonts w:hAnsi="宋体"/>
          <w:b/>
          <w:bCs/>
          <w:color w:val="auto"/>
          <w:szCs w:val="21"/>
          <w:highlight w:val="none"/>
        </w:rPr>
      </w:pPr>
      <w:r>
        <w:rPr>
          <w:rFonts w:hint="eastAsia" w:ascii="宋体" w:hAnsi="宋体"/>
          <w:b/>
          <w:color w:val="auto"/>
          <w:szCs w:val="21"/>
          <w:highlight w:val="none"/>
        </w:rPr>
        <w:t>第八条</w:t>
      </w:r>
      <w:r>
        <w:rPr>
          <w:rFonts w:hint="eastAsia" w:ascii="宋体" w:hAnsi="宋体"/>
          <w:color w:val="auto"/>
          <w:szCs w:val="21"/>
          <w:highlight w:val="none"/>
        </w:rPr>
        <w:t>：</w:t>
      </w:r>
      <w:r>
        <w:rPr>
          <w:rFonts w:hint="eastAsia" w:hAnsi="宋体"/>
          <w:color w:val="auto"/>
          <w:szCs w:val="21"/>
          <w:highlight w:val="none"/>
        </w:rPr>
        <w:t>评标委员应当在对投标文件进行评审和比较后出具评标书面报告，推荐总得分最高的投标人为中标候选人</w:t>
      </w:r>
      <w:r>
        <w:rPr>
          <w:rFonts w:hAnsi="宋体"/>
          <w:color w:val="auto"/>
          <w:szCs w:val="21"/>
          <w:highlight w:val="none"/>
        </w:rPr>
        <w:t>。</w:t>
      </w:r>
      <w:r>
        <w:rPr>
          <w:rFonts w:hint="eastAsia" w:hAnsi="宋体"/>
          <w:color w:val="auto"/>
          <w:szCs w:val="21"/>
          <w:highlight w:val="none"/>
        </w:rPr>
        <w:t>在评审过程中如出现商务报价相同的，由评标委员会表决确定。</w:t>
      </w:r>
    </w:p>
    <w:p>
      <w:pPr>
        <w:spacing w:line="432"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第九条：</w:t>
      </w:r>
      <w:r>
        <w:rPr>
          <w:rFonts w:hint="eastAsia" w:ascii="宋体" w:hAnsi="宋体"/>
          <w:color w:val="auto"/>
          <w:szCs w:val="21"/>
          <w:highlight w:val="none"/>
        </w:rPr>
        <w:t>招标人不得在评标委员会推荐的中标候选人之外确定中标人。</w:t>
      </w:r>
    </w:p>
    <w:p>
      <w:pPr>
        <w:spacing w:line="432" w:lineRule="auto"/>
        <w:ind w:firstLine="422" w:firstLineChars="200"/>
        <w:rPr>
          <w:rFonts w:ascii="宋体" w:hAnsi="宋体"/>
          <w:color w:val="auto"/>
          <w:szCs w:val="21"/>
          <w:highlight w:val="none"/>
        </w:rPr>
      </w:pPr>
      <w:r>
        <w:rPr>
          <w:rFonts w:hint="eastAsia" w:ascii="宋体" w:hAnsi="宋体"/>
          <w:b/>
          <w:color w:val="auto"/>
          <w:szCs w:val="21"/>
          <w:highlight w:val="none"/>
        </w:rPr>
        <w:t>第十条：</w:t>
      </w:r>
      <w:r>
        <w:rPr>
          <w:rFonts w:hint="eastAsia" w:ascii="宋体" w:hAnsi="宋体"/>
          <w:color w:val="auto"/>
          <w:szCs w:val="21"/>
          <w:highlight w:val="none"/>
        </w:rPr>
        <w:t>评标报告应当由评标委员会全体成员签字，如有保留意见，可在评标报告中阐明。评标委员会成员拒绝在评标报告上签字且不陈述理由的，视为同意评标结论。对于评审过程中出现无法达成一致的争议问题，按少数服从多数的原则确定。</w:t>
      </w:r>
    </w:p>
    <w:p>
      <w:pPr>
        <w:spacing w:line="432" w:lineRule="auto"/>
        <w:ind w:left="210" w:leftChars="100" w:firstLine="211" w:firstLineChars="100"/>
        <w:rPr>
          <w:rFonts w:ascii="宋体" w:hAnsi="宋体"/>
          <w:color w:val="auto"/>
          <w:szCs w:val="21"/>
          <w:highlight w:val="none"/>
        </w:rPr>
      </w:pPr>
      <w:r>
        <w:rPr>
          <w:rFonts w:hint="eastAsia" w:ascii="宋体" w:hAnsi="宋体"/>
          <w:b/>
          <w:color w:val="auto"/>
          <w:szCs w:val="21"/>
          <w:highlight w:val="none"/>
        </w:rPr>
        <w:t>第十一条：</w:t>
      </w:r>
      <w:r>
        <w:rPr>
          <w:rFonts w:hint="eastAsia" w:hAnsi="宋体"/>
          <w:color w:val="auto"/>
          <w:szCs w:val="21"/>
          <w:highlight w:val="none"/>
        </w:rPr>
        <w:t>在浙江建航工程咨询有限公司网站进行中标公示，公示期为三天。并根据公示结果确定中标人。</w:t>
      </w:r>
    </w:p>
    <w:p>
      <w:pPr>
        <w:autoSpaceDE w:val="0"/>
        <w:autoSpaceDN w:val="0"/>
        <w:adjustRightInd w:val="0"/>
        <w:spacing w:line="440" w:lineRule="exact"/>
        <w:ind w:firstLine="426"/>
        <w:rPr>
          <w:color w:val="auto"/>
          <w:szCs w:val="21"/>
          <w:highlight w:val="none"/>
        </w:rPr>
      </w:pPr>
      <w:r>
        <w:rPr>
          <w:rFonts w:hint="eastAsia"/>
          <w:b/>
          <w:color w:val="auto"/>
          <w:szCs w:val="21"/>
          <w:highlight w:val="none"/>
        </w:rPr>
        <w:t>第十二条</w:t>
      </w:r>
      <w:r>
        <w:rPr>
          <w:rFonts w:hint="eastAsia"/>
          <w:color w:val="auto"/>
          <w:szCs w:val="21"/>
          <w:highlight w:val="none"/>
        </w:rPr>
        <w:t>：中标人的最终报价即为中标价，中标价即为合同价。</w:t>
      </w:r>
    </w:p>
    <w:p>
      <w:pPr>
        <w:pStyle w:val="2"/>
        <w:rPr>
          <w:color w:val="auto"/>
          <w:highlight w:val="none"/>
        </w:rPr>
      </w:pPr>
      <w:r>
        <w:rPr>
          <w:rFonts w:hint="eastAsia"/>
          <w:color w:val="auto"/>
          <w:sz w:val="24"/>
          <w:highlight w:val="none"/>
        </w:rPr>
        <w:br w:type="page"/>
      </w:r>
      <w:r>
        <w:rPr>
          <w:color w:val="auto"/>
          <w:highlight w:val="none"/>
        </w:rPr>
        <w:t>第</w:t>
      </w:r>
      <w:r>
        <w:rPr>
          <w:rFonts w:hint="eastAsia"/>
          <w:color w:val="auto"/>
          <w:highlight w:val="none"/>
        </w:rPr>
        <w:t>六</w:t>
      </w:r>
      <w:r>
        <w:rPr>
          <w:color w:val="auto"/>
          <w:highlight w:val="none"/>
        </w:rPr>
        <w:t>章  投标文件</w:t>
      </w:r>
      <w:r>
        <w:rPr>
          <w:rFonts w:hint="eastAsia"/>
          <w:color w:val="auto"/>
          <w:highlight w:val="none"/>
        </w:rPr>
        <w:t>编制</w:t>
      </w:r>
    </w:p>
    <w:p>
      <w:pPr>
        <w:pStyle w:val="25"/>
        <w:numPr>
          <w:ilvl w:val="1"/>
          <w:numId w:val="21"/>
        </w:numPr>
        <w:spacing w:before="100" w:after="50" w:line="360" w:lineRule="auto"/>
        <w:ind w:hanging="571"/>
        <w:rPr>
          <w:rFonts w:hAnsi="宋体"/>
          <w:b/>
          <w:color w:val="auto"/>
          <w:sz w:val="24"/>
          <w:szCs w:val="24"/>
          <w:highlight w:val="none"/>
        </w:rPr>
      </w:pPr>
      <w:r>
        <w:rPr>
          <w:rFonts w:hint="eastAsia" w:hAnsi="宋体"/>
          <w:b/>
          <w:color w:val="auto"/>
          <w:sz w:val="24"/>
          <w:szCs w:val="24"/>
          <w:highlight w:val="none"/>
        </w:rPr>
        <w:t>商务标</w:t>
      </w:r>
    </w:p>
    <w:p>
      <w:pPr>
        <w:pStyle w:val="25"/>
        <w:spacing w:line="360" w:lineRule="auto"/>
        <w:ind w:left="420"/>
        <w:rPr>
          <w:rFonts w:hAnsi="宋体"/>
          <w:color w:val="auto"/>
          <w:highlight w:val="none"/>
        </w:rPr>
      </w:pPr>
      <w:r>
        <w:rPr>
          <w:rFonts w:hint="eastAsia" w:hAnsi="宋体"/>
          <w:color w:val="auto"/>
          <w:highlight w:val="none"/>
        </w:rPr>
        <w:t>1、投标函                                                           商表一</w:t>
      </w:r>
    </w:p>
    <w:p>
      <w:pPr>
        <w:pStyle w:val="25"/>
        <w:spacing w:line="360" w:lineRule="auto"/>
        <w:ind w:left="420"/>
        <w:rPr>
          <w:rFonts w:hAnsi="宋体"/>
          <w:color w:val="auto"/>
          <w:highlight w:val="none"/>
        </w:rPr>
      </w:pPr>
      <w:r>
        <w:rPr>
          <w:rFonts w:hint="eastAsia" w:hAnsi="宋体"/>
          <w:color w:val="auto"/>
          <w:highlight w:val="none"/>
        </w:rPr>
        <w:t xml:space="preserve">2、分项报价表 </w:t>
      </w:r>
      <w:r>
        <w:rPr>
          <w:rFonts w:hAnsi="宋体"/>
          <w:color w:val="auto"/>
          <w:highlight w:val="none"/>
        </w:rPr>
        <w:t xml:space="preserve">                                                      </w:t>
      </w:r>
      <w:r>
        <w:rPr>
          <w:rFonts w:hint="eastAsia" w:hAnsi="宋体"/>
          <w:color w:val="auto"/>
          <w:highlight w:val="none"/>
        </w:rPr>
        <w:t>商表二</w:t>
      </w:r>
    </w:p>
    <w:p>
      <w:pPr>
        <w:pStyle w:val="25"/>
        <w:spacing w:line="360" w:lineRule="auto"/>
        <w:ind w:left="420"/>
        <w:jc w:val="left"/>
        <w:rPr>
          <w:rFonts w:hAnsi="宋体"/>
          <w:color w:val="auto"/>
          <w:highlight w:val="none"/>
        </w:rPr>
      </w:pPr>
      <w:r>
        <w:rPr>
          <w:rFonts w:hAnsi="宋体"/>
          <w:color w:val="auto"/>
          <w:highlight w:val="none"/>
        </w:rPr>
        <w:t>3</w:t>
      </w:r>
      <w:r>
        <w:rPr>
          <w:rFonts w:hint="eastAsia" w:hAnsi="宋体"/>
          <w:color w:val="auto"/>
          <w:highlight w:val="none"/>
        </w:rPr>
        <w:t xml:space="preserve">、工程量清单                             </w:t>
      </w:r>
      <w:r>
        <w:rPr>
          <w:rFonts w:hAnsi="宋体"/>
          <w:color w:val="auto"/>
          <w:highlight w:val="none"/>
        </w:rPr>
        <w:t xml:space="preserve">               </w:t>
      </w:r>
      <w:r>
        <w:rPr>
          <w:rFonts w:hint="eastAsia" w:hAnsi="宋体"/>
          <w:color w:val="auto"/>
          <w:highlight w:val="none"/>
        </w:rPr>
        <w:t xml:space="preserve">           商表三                                                </w:t>
      </w:r>
    </w:p>
    <w:p>
      <w:pPr>
        <w:pStyle w:val="25"/>
        <w:spacing w:line="360" w:lineRule="auto"/>
        <w:rPr>
          <w:rFonts w:hAnsi="宋体"/>
          <w:color w:val="auto"/>
          <w:highlight w:val="none"/>
        </w:rPr>
      </w:pPr>
      <w:r>
        <w:rPr>
          <w:rFonts w:hint="eastAsia" w:hAnsi="宋体"/>
          <w:color w:val="auto"/>
          <w:highlight w:val="none"/>
        </w:rPr>
        <w:t xml:space="preserve">    </w:t>
      </w:r>
      <w:r>
        <w:rPr>
          <w:rFonts w:hAnsi="宋体"/>
          <w:color w:val="auto"/>
          <w:highlight w:val="none"/>
        </w:rPr>
        <w:t>4</w:t>
      </w:r>
      <w:r>
        <w:rPr>
          <w:rFonts w:hint="eastAsia" w:hAnsi="宋体"/>
          <w:color w:val="auto"/>
          <w:highlight w:val="none"/>
        </w:rPr>
        <w:t>、法定代表人资格证明书（或</w:t>
      </w:r>
      <w:r>
        <w:rPr>
          <w:rFonts w:hint="eastAsia"/>
          <w:color w:val="auto"/>
          <w:highlight w:val="none"/>
        </w:rPr>
        <w:t>授权委托书）</w:t>
      </w:r>
      <w:r>
        <w:rPr>
          <w:rFonts w:hint="eastAsia" w:hAnsi="宋体"/>
          <w:color w:val="auto"/>
          <w:highlight w:val="none"/>
        </w:rPr>
        <w:t xml:space="preserve">                             商表四                      </w:t>
      </w:r>
    </w:p>
    <w:p>
      <w:pPr>
        <w:numPr>
          <w:ilvl w:val="0"/>
          <w:numId w:val="22"/>
        </w:numPr>
        <w:spacing w:beforeLines="50" w:afterLines="50" w:line="460" w:lineRule="exact"/>
        <w:ind w:firstLine="193" w:firstLineChars="80"/>
        <w:outlineLvl w:val="0"/>
        <w:rPr>
          <w:rFonts w:ascii="宋体" w:hAnsi="宋体"/>
          <w:color w:val="auto"/>
          <w:szCs w:val="21"/>
          <w:highlight w:val="none"/>
        </w:rPr>
      </w:pPr>
      <w:r>
        <w:rPr>
          <w:rFonts w:hint="eastAsia"/>
          <w:b/>
          <w:color w:val="auto"/>
          <w:sz w:val="24"/>
          <w:szCs w:val="20"/>
          <w:highlight w:val="none"/>
        </w:rPr>
        <w:t>技术资信标</w:t>
      </w:r>
    </w:p>
    <w:p>
      <w:pPr>
        <w:pStyle w:val="25"/>
        <w:spacing w:line="360" w:lineRule="auto"/>
        <w:ind w:left="420"/>
        <w:rPr>
          <w:color w:val="auto"/>
          <w:szCs w:val="21"/>
          <w:highlight w:val="none"/>
        </w:rPr>
      </w:pPr>
      <w:r>
        <w:rPr>
          <w:color w:val="auto"/>
          <w:szCs w:val="21"/>
          <w:highlight w:val="none"/>
        </w:rPr>
        <w:t>1</w:t>
      </w:r>
      <w:r>
        <w:rPr>
          <w:rFonts w:hint="eastAsia"/>
          <w:color w:val="auto"/>
          <w:szCs w:val="21"/>
          <w:highlight w:val="none"/>
        </w:rPr>
        <w:t>、编制依据及原则</w:t>
      </w:r>
    </w:p>
    <w:p>
      <w:pPr>
        <w:pStyle w:val="25"/>
        <w:spacing w:line="360" w:lineRule="auto"/>
        <w:ind w:left="420"/>
        <w:rPr>
          <w:color w:val="auto"/>
          <w:szCs w:val="21"/>
          <w:highlight w:val="none"/>
        </w:rPr>
      </w:pPr>
      <w:r>
        <w:rPr>
          <w:rFonts w:hint="eastAsia"/>
          <w:color w:val="auto"/>
          <w:szCs w:val="21"/>
          <w:highlight w:val="none"/>
        </w:rPr>
        <w:t>2、工程概况</w:t>
      </w:r>
    </w:p>
    <w:p>
      <w:pPr>
        <w:pStyle w:val="25"/>
        <w:spacing w:line="360" w:lineRule="auto"/>
        <w:ind w:left="420"/>
        <w:rPr>
          <w:color w:val="auto"/>
          <w:szCs w:val="21"/>
          <w:highlight w:val="none"/>
        </w:rPr>
      </w:pPr>
      <w:r>
        <w:rPr>
          <w:rFonts w:hint="eastAsia"/>
          <w:color w:val="auto"/>
          <w:szCs w:val="21"/>
          <w:highlight w:val="none"/>
        </w:rPr>
        <w:t>3、项目设计方案</w:t>
      </w:r>
    </w:p>
    <w:p>
      <w:pPr>
        <w:pStyle w:val="25"/>
        <w:spacing w:line="360" w:lineRule="auto"/>
        <w:ind w:left="420"/>
        <w:rPr>
          <w:color w:val="auto"/>
          <w:szCs w:val="21"/>
          <w:highlight w:val="none"/>
        </w:rPr>
      </w:pPr>
      <w:r>
        <w:rPr>
          <w:rFonts w:hint="eastAsia"/>
          <w:color w:val="auto"/>
          <w:szCs w:val="21"/>
          <w:highlight w:val="none"/>
        </w:rPr>
        <w:t>4、施工方案（包含各分部、分项工程特别是关键工序的完整的施工方案；总进度计划表及施工网络图和保证进度具体措施、施工组织设计等）</w:t>
      </w:r>
    </w:p>
    <w:p>
      <w:pPr>
        <w:pStyle w:val="25"/>
        <w:spacing w:line="360" w:lineRule="auto"/>
        <w:ind w:left="420"/>
        <w:rPr>
          <w:color w:val="auto"/>
          <w:szCs w:val="21"/>
          <w:highlight w:val="none"/>
        </w:rPr>
      </w:pPr>
      <w:r>
        <w:rPr>
          <w:rFonts w:hint="eastAsia"/>
          <w:color w:val="auto"/>
          <w:szCs w:val="21"/>
          <w:highlight w:val="none"/>
        </w:rPr>
        <w:t>5、主要材料、设备的技术标准、参数</w:t>
      </w:r>
    </w:p>
    <w:p>
      <w:pPr>
        <w:pStyle w:val="25"/>
        <w:spacing w:line="360" w:lineRule="auto"/>
        <w:ind w:left="420"/>
        <w:rPr>
          <w:rFonts w:hAnsi="宋体"/>
          <w:color w:val="auto"/>
          <w:highlight w:val="none"/>
        </w:rPr>
      </w:pPr>
      <w:r>
        <w:rPr>
          <w:rFonts w:hint="eastAsia"/>
          <w:color w:val="auto"/>
          <w:szCs w:val="21"/>
          <w:highlight w:val="none"/>
        </w:rPr>
        <w:t>6、保证安全、质量、工期、文明施工和环保等的技术措施、组织措施、方法和控制措</w:t>
      </w:r>
      <w:r>
        <w:rPr>
          <w:rFonts w:hint="eastAsia" w:hAnsi="宋体"/>
          <w:color w:val="auto"/>
          <w:highlight w:val="none"/>
        </w:rPr>
        <w:t>施</w:t>
      </w:r>
    </w:p>
    <w:p>
      <w:pPr>
        <w:pStyle w:val="25"/>
        <w:spacing w:line="360" w:lineRule="auto"/>
        <w:ind w:left="420"/>
        <w:rPr>
          <w:rFonts w:hAnsi="宋体"/>
          <w:color w:val="auto"/>
          <w:highlight w:val="none"/>
        </w:rPr>
      </w:pPr>
      <w:r>
        <w:rPr>
          <w:rFonts w:hint="eastAsia"/>
          <w:color w:val="auto"/>
          <w:szCs w:val="21"/>
          <w:highlight w:val="none"/>
        </w:rPr>
        <w:t>7</w:t>
      </w:r>
      <w:r>
        <w:rPr>
          <w:rFonts w:hint="eastAsia" w:hAnsi="宋体"/>
          <w:color w:val="auto"/>
          <w:highlight w:val="none"/>
        </w:rPr>
        <w:t xml:space="preserve">、派驻现场的主要施工管理人员表              技表一                       </w:t>
      </w:r>
    </w:p>
    <w:p>
      <w:pPr>
        <w:widowControl/>
        <w:tabs>
          <w:tab w:val="left" w:pos="3780"/>
        </w:tabs>
        <w:spacing w:line="360" w:lineRule="auto"/>
        <w:ind w:firstLine="420"/>
        <w:jc w:val="left"/>
        <w:rPr>
          <w:rFonts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0"/>
          <w:highlight w:val="none"/>
        </w:rPr>
        <w:t xml:space="preserve">主要投标材料、设备清单                    </w:t>
      </w:r>
      <w:r>
        <w:rPr>
          <w:rFonts w:hint="eastAsia" w:hAnsi="宋体"/>
          <w:color w:val="auto"/>
          <w:szCs w:val="21"/>
          <w:highlight w:val="none"/>
        </w:rPr>
        <w:t>技表二</w:t>
      </w:r>
      <w:r>
        <w:rPr>
          <w:rFonts w:hint="eastAsia" w:ascii="宋体" w:hAnsi="宋体"/>
          <w:color w:val="auto"/>
          <w:szCs w:val="20"/>
          <w:highlight w:val="none"/>
        </w:rPr>
        <w:t xml:space="preserve">                              </w:t>
      </w:r>
    </w:p>
    <w:p>
      <w:pPr>
        <w:widowControl/>
        <w:tabs>
          <w:tab w:val="left" w:pos="3780"/>
        </w:tabs>
        <w:spacing w:line="360" w:lineRule="auto"/>
        <w:jc w:val="left"/>
        <w:rPr>
          <w:rFonts w:ascii="宋体" w:hAnsi="宋体"/>
          <w:color w:val="auto"/>
          <w:szCs w:val="21"/>
          <w:highlight w:val="none"/>
        </w:rPr>
      </w:pPr>
      <w:r>
        <w:rPr>
          <w:rFonts w:hint="eastAsia" w:ascii="宋体" w:hAnsi="宋体"/>
          <w:color w:val="auto"/>
          <w:szCs w:val="21"/>
          <w:highlight w:val="none"/>
        </w:rPr>
        <w:t xml:space="preserve">    9、资格审查资料                              技表三</w:t>
      </w:r>
    </w:p>
    <w:p>
      <w:pPr>
        <w:pStyle w:val="25"/>
        <w:spacing w:line="360" w:lineRule="auto"/>
        <w:ind w:firstLine="420" w:firstLineChars="200"/>
        <w:rPr>
          <w:color w:val="auto"/>
          <w:szCs w:val="21"/>
          <w:highlight w:val="none"/>
        </w:rPr>
      </w:pPr>
      <w:r>
        <w:rPr>
          <w:rFonts w:hint="eastAsia" w:hAnsi="宋体"/>
          <w:color w:val="auto"/>
          <w:szCs w:val="21"/>
          <w:highlight w:val="none"/>
        </w:rPr>
        <w:t>10、合同条款确认函                           技表四</w:t>
      </w:r>
    </w:p>
    <w:p>
      <w:pPr>
        <w:widowControl/>
        <w:tabs>
          <w:tab w:val="left" w:pos="3780"/>
        </w:tabs>
        <w:spacing w:line="360" w:lineRule="auto"/>
        <w:jc w:val="left"/>
        <w:rPr>
          <w:rFonts w:ascii="宋体" w:hAnsi="宋体"/>
          <w:color w:val="auto"/>
          <w:szCs w:val="21"/>
          <w:highlight w:val="none"/>
        </w:rPr>
      </w:pPr>
    </w:p>
    <w:p>
      <w:pPr>
        <w:spacing w:line="460" w:lineRule="exact"/>
        <w:ind w:firstLine="480"/>
        <w:outlineLvl w:val="0"/>
        <w:rPr>
          <w:b/>
          <w:color w:val="auto"/>
          <w:szCs w:val="21"/>
          <w:highlight w:val="none"/>
        </w:rPr>
      </w:pPr>
      <w:r>
        <w:rPr>
          <w:rFonts w:hint="eastAsia"/>
          <w:b/>
          <w:color w:val="auto"/>
          <w:szCs w:val="21"/>
          <w:highlight w:val="none"/>
        </w:rPr>
        <w:t>投标人认为表格不够时可以另附表格在技表四后面</w:t>
      </w:r>
    </w:p>
    <w:p>
      <w:pPr>
        <w:spacing w:line="460" w:lineRule="exact"/>
        <w:ind w:firstLine="480"/>
        <w:outlineLvl w:val="0"/>
        <w:rPr>
          <w:color w:val="auto"/>
          <w:sz w:val="24"/>
          <w:szCs w:val="20"/>
          <w:highlight w:val="none"/>
        </w:rPr>
      </w:pPr>
    </w:p>
    <w:p>
      <w:pPr>
        <w:spacing w:line="520" w:lineRule="exact"/>
        <w:outlineLvl w:val="0"/>
        <w:rPr>
          <w:rFonts w:ascii="宋体" w:hAnsi="宋体"/>
          <w:bCs/>
          <w:color w:val="auto"/>
          <w:sz w:val="24"/>
          <w:highlight w:val="none"/>
        </w:rPr>
      </w:pPr>
      <w:r>
        <w:rPr>
          <w:rFonts w:hint="eastAsia"/>
          <w:b/>
          <w:color w:val="auto"/>
          <w:sz w:val="30"/>
          <w:szCs w:val="30"/>
          <w:highlight w:val="none"/>
          <w:u w:val="single"/>
        </w:rPr>
        <w:br w:type="page"/>
      </w:r>
      <w:r>
        <w:rPr>
          <w:rFonts w:hint="eastAsia" w:ascii="宋体" w:hAnsi="宋体"/>
          <w:bCs/>
          <w:color w:val="auto"/>
          <w:sz w:val="24"/>
          <w:highlight w:val="none"/>
        </w:rPr>
        <w:t>商表一：</w:t>
      </w:r>
    </w:p>
    <w:p>
      <w:pPr>
        <w:jc w:val="center"/>
        <w:rPr>
          <w:b/>
          <w:color w:val="auto"/>
          <w:sz w:val="32"/>
          <w:szCs w:val="32"/>
          <w:highlight w:val="none"/>
        </w:rPr>
      </w:pPr>
      <w:r>
        <w:rPr>
          <w:rFonts w:hint="eastAsia"/>
          <w:b/>
          <w:color w:val="auto"/>
          <w:sz w:val="32"/>
          <w:szCs w:val="32"/>
          <w:highlight w:val="none"/>
        </w:rPr>
        <w:t>投标函</w:t>
      </w:r>
    </w:p>
    <w:p>
      <w:pPr>
        <w:spacing w:line="360" w:lineRule="auto"/>
        <w:ind w:firstLine="420" w:firstLineChars="200"/>
        <w:rPr>
          <w:rFonts w:ascii="宋体" w:hAnsi="宋体"/>
          <w:color w:val="auto"/>
          <w:szCs w:val="21"/>
          <w:highlight w:val="none"/>
        </w:rPr>
      </w:pPr>
    </w:p>
    <w:p>
      <w:pPr>
        <w:tabs>
          <w:tab w:val="left" w:pos="4410"/>
        </w:tabs>
        <w:spacing w:line="500" w:lineRule="exact"/>
        <w:rPr>
          <w:rFonts w:ascii="宋体" w:hAnsi="宋体"/>
          <w:color w:val="auto"/>
          <w:sz w:val="24"/>
          <w:highlight w:val="none"/>
        </w:rPr>
      </w:pPr>
      <w:r>
        <w:rPr>
          <w:rFonts w:hint="eastAsia" w:ascii="宋体" w:hAnsi="宋体"/>
          <w:color w:val="auto"/>
          <w:sz w:val="24"/>
          <w:highlight w:val="none"/>
          <w:u w:val="single"/>
        </w:rPr>
        <w:t>中国石化销售股份有限公司浙江丽水石油分公司</w:t>
      </w:r>
      <w:r>
        <w:rPr>
          <w:rFonts w:hint="eastAsia" w:ascii="宋体" w:hAnsi="宋体"/>
          <w:color w:val="auto"/>
          <w:sz w:val="24"/>
          <w:highlight w:val="none"/>
        </w:rPr>
        <w:t>：</w:t>
      </w:r>
    </w:p>
    <w:p>
      <w:pPr>
        <w:tabs>
          <w:tab w:val="left" w:pos="4410"/>
        </w:tabs>
        <w:spacing w:line="500" w:lineRule="exact"/>
        <w:ind w:firstLine="495"/>
        <w:rPr>
          <w:rFonts w:ascii="宋体" w:hAnsi="宋体"/>
          <w:color w:val="auto"/>
          <w:sz w:val="24"/>
          <w:highlight w:val="none"/>
        </w:rPr>
      </w:pPr>
      <w:r>
        <w:rPr>
          <w:rFonts w:hint="eastAsia" w:ascii="宋体" w:hAnsi="宋体"/>
          <w:color w:val="auto"/>
          <w:sz w:val="24"/>
          <w:highlight w:val="none"/>
        </w:rPr>
        <w:t>我方已全面阅读和研究了</w:t>
      </w:r>
      <w:r>
        <w:rPr>
          <w:rFonts w:hint="eastAsia" w:ascii="宋体" w:hAnsi="宋体"/>
          <w:color w:val="auto"/>
          <w:sz w:val="24"/>
          <w:highlight w:val="none"/>
          <w:u w:val="single"/>
        </w:rPr>
        <w:t xml:space="preserve">                  </w:t>
      </w:r>
      <w:r>
        <w:rPr>
          <w:rFonts w:hint="eastAsia" w:ascii="宋体" w:hAnsi="宋体"/>
          <w:color w:val="auto"/>
          <w:sz w:val="24"/>
          <w:highlight w:val="none"/>
        </w:rPr>
        <w:t>工程施工招标文件和招标补充文件，并经过现场踏勘，澄清疑问，充分理解并掌握了本工程招标的全部有关情况。现经我方认真分析研究，同意接受招标文件的全部要约条件，并按此确定本工程投标的各项承诺内容，以本投标书向你方发包的</w:t>
      </w:r>
      <w:r>
        <w:rPr>
          <w:rFonts w:hint="eastAsia" w:ascii="宋体" w:hAnsi="宋体"/>
          <w:color w:val="auto"/>
          <w:sz w:val="24"/>
          <w:highlight w:val="none"/>
          <w:u w:val="single"/>
        </w:rPr>
        <w:t xml:space="preserve">                    </w:t>
      </w:r>
      <w:r>
        <w:rPr>
          <w:rFonts w:hint="eastAsia" w:ascii="宋体" w:hAnsi="宋体"/>
          <w:color w:val="auto"/>
          <w:sz w:val="24"/>
          <w:highlight w:val="none"/>
        </w:rPr>
        <w:t>工程全部内容进行投标。投标单价为人民币（大写）</w:t>
      </w:r>
      <w:r>
        <w:rPr>
          <w:rFonts w:hint="eastAsia" w:ascii="宋体" w:hAnsi="宋体"/>
          <w:color w:val="auto"/>
          <w:sz w:val="24"/>
          <w:highlight w:val="none"/>
          <w:u w:val="single"/>
        </w:rPr>
        <w:t xml:space="preserve">         </w:t>
      </w:r>
      <w:r>
        <w:rPr>
          <w:rFonts w:hint="eastAsia" w:ascii="宋体" w:hAnsi="宋体"/>
          <w:color w:val="auto"/>
          <w:sz w:val="24"/>
          <w:highlight w:val="none"/>
        </w:rPr>
        <w:t>元/w（RMB</w:t>
      </w:r>
      <w:r>
        <w:rPr>
          <w:rFonts w:hint="eastAsia" w:ascii="宋体" w:hAnsi="宋体"/>
          <w:color w:val="auto"/>
          <w:sz w:val="24"/>
          <w:highlight w:val="none"/>
          <w:u w:val="single"/>
        </w:rPr>
        <w:t xml:space="preserve">￥       </w:t>
      </w:r>
      <w:r>
        <w:rPr>
          <w:rFonts w:hint="eastAsia" w:ascii="宋体" w:hAnsi="宋体"/>
          <w:color w:val="auto"/>
          <w:sz w:val="24"/>
          <w:highlight w:val="none"/>
        </w:rPr>
        <w:t>元/w</w:t>
      </w:r>
      <w:r>
        <w:rPr>
          <w:rFonts w:ascii="宋体" w:hAnsi="宋体"/>
          <w:color w:val="auto"/>
          <w:sz w:val="24"/>
          <w:highlight w:val="none"/>
        </w:rPr>
        <w:t>）</w:t>
      </w:r>
      <w:r>
        <w:rPr>
          <w:rFonts w:hint="eastAsia" w:ascii="宋体" w:hAnsi="宋体"/>
          <w:color w:val="auto"/>
          <w:sz w:val="24"/>
          <w:highlight w:val="none"/>
        </w:rPr>
        <w:t>。工期为</w:t>
      </w:r>
      <w:r>
        <w:rPr>
          <w:rFonts w:hint="eastAsia" w:ascii="宋体" w:hAnsi="宋体"/>
          <w:color w:val="auto"/>
          <w:sz w:val="24"/>
          <w:highlight w:val="none"/>
          <w:u w:val="single"/>
        </w:rPr>
        <w:t xml:space="preserve"> 55日历天 </w:t>
      </w:r>
      <w:r>
        <w:rPr>
          <w:rFonts w:hint="eastAsia" w:ascii="宋体" w:hAnsi="宋体"/>
          <w:color w:val="auto"/>
          <w:sz w:val="24"/>
          <w:highlight w:val="none"/>
        </w:rPr>
        <w:t>，质量目标为</w:t>
      </w:r>
      <w:r>
        <w:rPr>
          <w:rFonts w:hint="eastAsia" w:ascii="宋体" w:hAnsi="宋体"/>
          <w:color w:val="auto"/>
          <w:sz w:val="24"/>
          <w:highlight w:val="none"/>
          <w:u w:val="single"/>
        </w:rPr>
        <w:t xml:space="preserve">通过电力局验收，并网发电 </w:t>
      </w:r>
      <w:r>
        <w:rPr>
          <w:rFonts w:hint="eastAsia" w:ascii="宋体" w:hAnsi="宋体"/>
          <w:color w:val="auto"/>
          <w:sz w:val="24"/>
          <w:highlight w:val="none"/>
        </w:rPr>
        <w:t>，质保期</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，项目经理</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pPr>
        <w:pStyle w:val="154"/>
        <w:spacing w:after="156" w:line="500" w:lineRule="exact"/>
        <w:ind w:firstLine="480"/>
        <w:rPr>
          <w:rFonts w:ascii="宋体" w:hAnsi="宋体"/>
          <w:color w:val="auto"/>
          <w:kern w:val="2"/>
          <w:highlight w:val="none"/>
        </w:rPr>
      </w:pPr>
      <w:r>
        <w:rPr>
          <w:rFonts w:hint="eastAsia" w:ascii="宋体" w:hAnsi="宋体"/>
          <w:color w:val="auto"/>
          <w:kern w:val="2"/>
          <w:highlight w:val="none"/>
        </w:rPr>
        <w:t>我公司承诺：组件光电转换最高效率≥20.5%，光伏组件使用寿命≥</w:t>
      </w:r>
      <w:r>
        <w:rPr>
          <w:rFonts w:ascii="宋体" w:hAnsi="宋体"/>
          <w:color w:val="auto"/>
          <w:kern w:val="2"/>
          <w:highlight w:val="none"/>
        </w:rPr>
        <w:t>25 年，首年衰减</w:t>
      </w:r>
      <w:r>
        <w:rPr>
          <w:rFonts w:hint="eastAsia" w:ascii="宋体" w:hAnsi="宋体"/>
          <w:color w:val="auto"/>
          <w:kern w:val="2"/>
          <w:highlight w:val="none"/>
        </w:rPr>
        <w:t>≤</w:t>
      </w:r>
      <w:r>
        <w:rPr>
          <w:rFonts w:ascii="宋体" w:hAnsi="宋体"/>
          <w:color w:val="auto"/>
          <w:kern w:val="2"/>
          <w:highlight w:val="none"/>
        </w:rPr>
        <w:t>2%，以后年衰减</w:t>
      </w:r>
      <w:r>
        <w:rPr>
          <w:rFonts w:hint="eastAsia" w:ascii="宋体" w:hAnsi="宋体"/>
          <w:color w:val="auto"/>
          <w:kern w:val="2"/>
          <w:highlight w:val="none"/>
        </w:rPr>
        <w:t>≤</w:t>
      </w:r>
      <w:r>
        <w:rPr>
          <w:rFonts w:ascii="宋体" w:hAnsi="宋体"/>
          <w:color w:val="auto"/>
          <w:kern w:val="2"/>
          <w:highlight w:val="none"/>
        </w:rPr>
        <w:t>0.55%，25年使用期限内输出功率</w:t>
      </w:r>
      <w:r>
        <w:rPr>
          <w:rFonts w:hint="eastAsia" w:ascii="宋体" w:hAnsi="宋体"/>
          <w:color w:val="auto"/>
          <w:kern w:val="2"/>
          <w:highlight w:val="none"/>
        </w:rPr>
        <w:t>≥</w:t>
      </w:r>
      <w:r>
        <w:rPr>
          <w:rFonts w:ascii="宋体" w:hAnsi="宋体"/>
          <w:color w:val="auto"/>
          <w:kern w:val="2"/>
          <w:highlight w:val="none"/>
        </w:rPr>
        <w:t>80%的标准功率</w:t>
      </w:r>
      <w:r>
        <w:rPr>
          <w:rFonts w:hint="eastAsia" w:ascii="宋体" w:hAnsi="宋体"/>
          <w:color w:val="auto"/>
          <w:kern w:val="2"/>
          <w:highlight w:val="none"/>
        </w:rPr>
        <w:t>，</w:t>
      </w:r>
      <w:r>
        <w:rPr>
          <w:rFonts w:ascii="宋体" w:hAnsi="宋体"/>
          <w:color w:val="auto"/>
          <w:kern w:val="2"/>
          <w:highlight w:val="none"/>
        </w:rPr>
        <w:t xml:space="preserve"> </w:t>
      </w:r>
      <w:r>
        <w:rPr>
          <w:rFonts w:hint="eastAsia" w:ascii="宋体" w:hAnsi="宋体"/>
          <w:color w:val="auto"/>
          <w:kern w:val="2"/>
          <w:highlight w:val="none"/>
        </w:rPr>
        <w:t>逆变器应满足</w:t>
      </w:r>
      <w:r>
        <w:rPr>
          <w:rFonts w:ascii="宋体" w:hAnsi="宋体"/>
          <w:color w:val="auto"/>
          <w:kern w:val="2"/>
          <w:highlight w:val="none"/>
        </w:rPr>
        <w:t xml:space="preserve"> NB/T 32004《光伏发电并网逆变器技术规范》要求，最大转换效率</w:t>
      </w:r>
      <w:r>
        <w:rPr>
          <w:rFonts w:hint="eastAsia" w:ascii="宋体" w:hAnsi="宋体"/>
          <w:color w:val="auto"/>
          <w:kern w:val="2"/>
          <w:highlight w:val="none"/>
        </w:rPr>
        <w:t>≥</w:t>
      </w:r>
      <w:r>
        <w:rPr>
          <w:rFonts w:ascii="宋体" w:hAnsi="宋体"/>
          <w:color w:val="auto"/>
          <w:kern w:val="2"/>
          <w:highlight w:val="none"/>
        </w:rPr>
        <w:t>98.4%</w:t>
      </w:r>
      <w:r>
        <w:rPr>
          <w:rFonts w:hint="eastAsia" w:ascii="宋体" w:hAnsi="宋体"/>
          <w:color w:val="auto"/>
          <w:kern w:val="2"/>
          <w:highlight w:val="none"/>
        </w:rPr>
        <w:t>。</w:t>
      </w:r>
    </w:p>
    <w:p>
      <w:pPr>
        <w:tabs>
          <w:tab w:val="left" w:pos="4410"/>
        </w:tabs>
        <w:spacing w:line="500" w:lineRule="exact"/>
        <w:rPr>
          <w:rFonts w:ascii="宋体" w:hAnsi="宋体"/>
          <w:color w:val="auto"/>
          <w:sz w:val="24"/>
          <w:highlight w:val="none"/>
        </w:rPr>
      </w:pPr>
      <w:r>
        <w:rPr>
          <w:rFonts w:hint="eastAsia" w:ascii="宋体" w:hAnsi="宋体"/>
          <w:color w:val="auto"/>
          <w:sz w:val="24"/>
          <w:highlight w:val="none"/>
        </w:rPr>
        <w:t xml:space="preserve">   我方将严格按照有关工程招标投标法规及招标文件规定参加投标，并理解贵方不一定接受最低价的投标，对决标结果也没有解释的义务。如由我方中标，在接到你方发出的中标通知书起</w:t>
      </w:r>
      <w:r>
        <w:rPr>
          <w:rFonts w:hint="eastAsia" w:ascii="宋体" w:hAnsi="宋体"/>
          <w:color w:val="auto"/>
          <w:sz w:val="24"/>
          <w:highlight w:val="none"/>
          <w:u w:val="single"/>
        </w:rPr>
        <w:t xml:space="preserve"> 10 </w:t>
      </w:r>
      <w:r>
        <w:rPr>
          <w:rFonts w:hint="eastAsia" w:ascii="宋体" w:hAnsi="宋体"/>
          <w:color w:val="auto"/>
          <w:sz w:val="24"/>
          <w:highlight w:val="none"/>
        </w:rPr>
        <w:t>天内，按中标通知书、招标文件和本投标书的约定与你方签订承包合同，履行规定的一切责任和义务。</w:t>
      </w:r>
    </w:p>
    <w:p>
      <w:pPr>
        <w:spacing w:line="500" w:lineRule="exact"/>
        <w:ind w:left="-75" w:right="1"/>
        <w:rPr>
          <w:rFonts w:ascii="宋体" w:hAnsi="宋体"/>
          <w:color w:val="auto"/>
          <w:sz w:val="24"/>
          <w:highlight w:val="none"/>
        </w:rPr>
      </w:pPr>
      <w:r>
        <w:rPr>
          <w:rFonts w:hint="eastAsia" w:ascii="宋体" w:hAnsi="宋体"/>
          <w:color w:val="auto"/>
          <w:sz w:val="24"/>
          <w:highlight w:val="none"/>
        </w:rPr>
        <w:t xml:space="preserve">    本投标书自递交你方起</w:t>
      </w:r>
      <w:r>
        <w:rPr>
          <w:rFonts w:hint="eastAsia" w:ascii="宋体" w:hAnsi="宋体"/>
          <w:color w:val="auto"/>
          <w:sz w:val="24"/>
          <w:highlight w:val="none"/>
          <w:u w:val="single"/>
        </w:rPr>
        <w:t xml:space="preserve"> 90</w:t>
      </w:r>
      <w:r>
        <w:rPr>
          <w:rFonts w:hint="eastAsia" w:ascii="宋体" w:hAnsi="宋体"/>
          <w:color w:val="auto"/>
          <w:sz w:val="24"/>
          <w:highlight w:val="none"/>
        </w:rPr>
        <w:t>天有效期内，全部条款内容对我方具有约束力。在此有效期内，我方如出现以下行为之一者，即无条件同意招标单位没收我单位已交纳的投标保证金人民币。(1)撤还投标书；(2)擅自修改或拒绝接受已经承诺确认的条款；（3）在规定的时间内拒签合同。</w:t>
      </w:r>
    </w:p>
    <w:p>
      <w:pPr>
        <w:spacing w:line="500" w:lineRule="exact"/>
        <w:rPr>
          <w:rFonts w:ascii="宋体" w:hAnsi="宋体"/>
          <w:color w:val="auto"/>
          <w:sz w:val="24"/>
          <w:highlight w:val="none"/>
        </w:rPr>
      </w:pPr>
      <w:r>
        <w:rPr>
          <w:rFonts w:hint="eastAsia" w:ascii="宋体" w:hAnsi="宋体"/>
          <w:color w:val="auto"/>
          <w:sz w:val="24"/>
          <w:highlight w:val="none"/>
        </w:rPr>
        <w:t xml:space="preserve"> </w:t>
      </w:r>
    </w:p>
    <w:p>
      <w:pPr>
        <w:spacing w:line="500" w:lineRule="exact"/>
        <w:rPr>
          <w:rFonts w:ascii="宋体" w:hAnsi="宋体"/>
          <w:color w:val="auto"/>
          <w:sz w:val="24"/>
          <w:highlight w:val="none"/>
        </w:rPr>
      </w:pPr>
    </w:p>
    <w:p>
      <w:pPr>
        <w:spacing w:line="500" w:lineRule="exact"/>
        <w:jc w:val="right"/>
        <w:rPr>
          <w:rFonts w:ascii="宋体" w:hAnsi="宋体"/>
          <w:color w:val="auto"/>
          <w:sz w:val="24"/>
          <w:highlight w:val="none"/>
        </w:rPr>
      </w:pPr>
    </w:p>
    <w:p>
      <w:pPr>
        <w:spacing w:line="360" w:lineRule="auto"/>
        <w:jc w:val="center"/>
        <w:rPr>
          <w:rFonts w:ascii="宋体" w:hAnsi="宋体"/>
          <w:color w:val="auto"/>
          <w:sz w:val="24"/>
          <w:highlight w:val="none"/>
        </w:rPr>
      </w:pPr>
      <w:r>
        <w:rPr>
          <w:rFonts w:hint="eastAsia" w:ascii="宋体" w:hAnsi="宋体"/>
          <w:color w:val="auto"/>
          <w:sz w:val="24"/>
          <w:highlight w:val="none"/>
        </w:rPr>
        <w:t xml:space="preserve">                       投标单位(盖章)                            </w:t>
      </w:r>
    </w:p>
    <w:p>
      <w:pPr>
        <w:spacing w:line="360" w:lineRule="auto"/>
        <w:ind w:right="360"/>
        <w:jc w:val="right"/>
        <w:rPr>
          <w:rFonts w:ascii="宋体" w:hAnsi="宋体"/>
          <w:color w:val="auto"/>
          <w:sz w:val="24"/>
          <w:highlight w:val="none"/>
        </w:rPr>
      </w:pPr>
      <w:r>
        <w:rPr>
          <w:rFonts w:hint="eastAsia" w:ascii="宋体" w:hAnsi="宋体"/>
          <w:color w:val="auto"/>
          <w:sz w:val="24"/>
          <w:highlight w:val="none"/>
        </w:rPr>
        <w:t>法定代表或授权代表(签字或盖章)</w:t>
      </w:r>
    </w:p>
    <w:p>
      <w:pPr>
        <w:spacing w:line="360" w:lineRule="auto"/>
        <w:jc w:val="center"/>
        <w:rPr>
          <w:rFonts w:ascii="宋体" w:hAnsi="宋体"/>
          <w:color w:val="auto"/>
          <w:sz w:val="24"/>
          <w:highlight w:val="none"/>
        </w:rPr>
      </w:pPr>
      <w:r>
        <w:rPr>
          <w:rFonts w:hint="eastAsia" w:ascii="宋体" w:hAnsi="宋体"/>
          <w:color w:val="auto"/>
          <w:sz w:val="24"/>
          <w:highlight w:val="none"/>
        </w:rPr>
        <w:t xml:space="preserve">                                        年   月    日</w:t>
      </w:r>
    </w:p>
    <w:p>
      <w:pPr>
        <w:spacing w:line="360" w:lineRule="auto"/>
        <w:jc w:val="left"/>
        <w:rPr>
          <w:rFonts w:ascii="宋体" w:hAnsi="宋体"/>
          <w:b/>
          <w:bCs/>
          <w:color w:val="auto"/>
          <w:sz w:val="28"/>
          <w:highlight w:val="none"/>
        </w:rPr>
      </w:pPr>
      <w:r>
        <w:rPr>
          <w:rFonts w:hint="eastAsia" w:ascii="宋体" w:hAnsi="宋体"/>
          <w:bCs/>
          <w:color w:val="auto"/>
          <w:sz w:val="24"/>
          <w:highlight w:val="none"/>
        </w:rPr>
        <w:t>商表二：</w:t>
      </w:r>
    </w:p>
    <w:p>
      <w:pPr>
        <w:spacing w:line="360" w:lineRule="auto"/>
        <w:jc w:val="center"/>
        <w:rPr>
          <w:rFonts w:ascii="宋体" w:hAnsi="宋体"/>
          <w:b/>
          <w:bCs/>
          <w:color w:val="auto"/>
          <w:sz w:val="28"/>
          <w:highlight w:val="none"/>
        </w:rPr>
      </w:pPr>
      <w:r>
        <w:rPr>
          <w:rFonts w:hint="eastAsia" w:ascii="宋体" w:hAnsi="宋体"/>
          <w:b/>
          <w:bCs/>
          <w:color w:val="auto"/>
          <w:sz w:val="28"/>
          <w:highlight w:val="none"/>
        </w:rPr>
        <w:t>分项报价表</w:t>
      </w:r>
    </w:p>
    <w:p>
      <w:pPr>
        <w:spacing w:line="360" w:lineRule="auto"/>
        <w:rPr>
          <w:rFonts w:ascii="宋体" w:hAnsi="宋体"/>
          <w:b/>
          <w:bCs/>
          <w:color w:val="auto"/>
          <w:sz w:val="28"/>
          <w:highlight w:val="none"/>
        </w:rPr>
      </w:pPr>
    </w:p>
    <w:tbl>
      <w:tblPr>
        <w:tblStyle w:val="48"/>
        <w:tblW w:w="8700" w:type="dxa"/>
        <w:tblInd w:w="113" w:type="dxa"/>
        <w:tblLayout w:type="autofit"/>
        <w:tblCellMar>
          <w:top w:w="0" w:type="dxa"/>
          <w:left w:w="108" w:type="dxa"/>
          <w:bottom w:w="0" w:type="dxa"/>
          <w:right w:w="108" w:type="dxa"/>
        </w:tblCellMar>
      </w:tblPr>
      <w:tblGrid>
        <w:gridCol w:w="1080"/>
        <w:gridCol w:w="1080"/>
        <w:gridCol w:w="1379"/>
        <w:gridCol w:w="1985"/>
        <w:gridCol w:w="1701"/>
        <w:gridCol w:w="1475"/>
      </w:tblGrid>
      <w:tr>
        <w:tblPrEx>
          <w:tblCellMar>
            <w:top w:w="0" w:type="dxa"/>
            <w:left w:w="108" w:type="dxa"/>
            <w:bottom w:w="0" w:type="dxa"/>
            <w:right w:w="108" w:type="dxa"/>
          </w:tblCellMar>
        </w:tblPrEx>
        <w:trPr>
          <w:trHeight w:val="379"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b/>
                <w:bCs/>
                <w:color w:val="auto"/>
                <w:kern w:val="0"/>
                <w:sz w:val="20"/>
                <w:szCs w:val="20"/>
                <w:highlight w:val="none"/>
              </w:rPr>
              <w:t>序</w:t>
            </w:r>
            <w:r>
              <w:rPr>
                <w:rFonts w:hint="eastAsia" w:ascii="宋体" w:hAnsi="宋体" w:cs="宋体"/>
                <w:b/>
                <w:bCs/>
                <w:color w:val="auto"/>
                <w:kern w:val="0"/>
                <w:sz w:val="20"/>
                <w:szCs w:val="20"/>
                <w:highlight w:val="none"/>
              </w:rPr>
              <w:br w:type="textWrapping"/>
            </w:r>
            <w:r>
              <w:rPr>
                <w:rFonts w:hint="eastAsia" w:ascii="宋体" w:hAnsi="宋体" w:cs="宋体"/>
                <w:b/>
                <w:bCs/>
                <w:color w:val="auto"/>
                <w:kern w:val="0"/>
                <w:sz w:val="20"/>
                <w:szCs w:val="20"/>
                <w:highlight w:val="none"/>
              </w:rPr>
              <w:t>号</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b/>
                <w:bCs/>
                <w:color w:val="auto"/>
                <w:kern w:val="0"/>
                <w:sz w:val="20"/>
                <w:szCs w:val="20"/>
                <w:highlight w:val="none"/>
              </w:rPr>
              <w:t>区域</w:t>
            </w:r>
          </w:p>
        </w:tc>
        <w:tc>
          <w:tcPr>
            <w:tcW w:w="137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b/>
                <w:bCs/>
                <w:color w:val="auto"/>
                <w:kern w:val="0"/>
                <w:sz w:val="20"/>
                <w:szCs w:val="20"/>
                <w:highlight w:val="none"/>
              </w:rPr>
              <w:t>站名</w:t>
            </w:r>
          </w:p>
        </w:tc>
        <w:tc>
          <w:tcPr>
            <w:tcW w:w="198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b/>
                <w:bCs/>
                <w:color w:val="auto"/>
                <w:kern w:val="0"/>
                <w:sz w:val="20"/>
                <w:szCs w:val="20"/>
                <w:highlight w:val="none"/>
              </w:rPr>
              <w:t>暂定装机容量</w:t>
            </w:r>
            <w:r>
              <w:rPr>
                <w:rFonts w:hint="eastAsia" w:ascii="宋体" w:hAnsi="宋体" w:cs="宋体"/>
                <w:b/>
                <w:bCs/>
                <w:color w:val="auto"/>
                <w:kern w:val="0"/>
                <w:sz w:val="20"/>
                <w:szCs w:val="20"/>
                <w:highlight w:val="none"/>
              </w:rPr>
              <w:br w:type="textWrapping"/>
            </w:r>
            <w:r>
              <w:rPr>
                <w:rFonts w:hint="eastAsia" w:ascii="宋体" w:hAnsi="宋体" w:cs="宋体"/>
                <w:b/>
                <w:bCs/>
                <w:color w:val="auto"/>
                <w:kern w:val="0"/>
                <w:sz w:val="20"/>
                <w:szCs w:val="20"/>
                <w:highlight w:val="none"/>
              </w:rPr>
              <w:t>（kw）</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b/>
                <w:bCs/>
                <w:color w:val="auto"/>
                <w:kern w:val="0"/>
                <w:sz w:val="20"/>
                <w:szCs w:val="20"/>
                <w:highlight w:val="none"/>
              </w:rPr>
              <w:t>投标单价（元）</w:t>
            </w:r>
          </w:p>
        </w:tc>
        <w:tc>
          <w:tcPr>
            <w:tcW w:w="14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b/>
                <w:bCs/>
                <w:color w:val="auto"/>
                <w:kern w:val="0"/>
                <w:sz w:val="20"/>
                <w:szCs w:val="20"/>
                <w:highlight w:val="none"/>
              </w:rPr>
              <w:t>合价（元）</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080" w:type="dxa"/>
            <w:vMerge w:val="restart"/>
            <w:tcBorders>
              <w:top w:val="single" w:color="auto" w:sz="4" w:space="0"/>
              <w:left w:val="single" w:color="auto" w:sz="4" w:space="0"/>
              <w:right w:val="single" w:color="auto" w:sz="4" w:space="0"/>
            </w:tcBorders>
            <w:noWrap/>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莲都区</w:t>
            </w:r>
          </w:p>
        </w:tc>
        <w:tc>
          <w:tcPr>
            <w:tcW w:w="137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三岩寺</w:t>
            </w:r>
          </w:p>
        </w:tc>
        <w:tc>
          <w:tcPr>
            <w:tcW w:w="198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30</w:t>
            </w:r>
          </w:p>
        </w:tc>
        <w:tc>
          <w:tcPr>
            <w:tcW w:w="1701"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4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080" w:type="dxa"/>
            <w:vMerge w:val="continue"/>
            <w:tcBorders>
              <w:left w:val="single" w:color="auto" w:sz="4" w:space="0"/>
              <w:right w:val="single" w:color="auto" w:sz="4" w:space="0"/>
            </w:tcBorders>
            <w:vAlign w:val="center"/>
          </w:tcPr>
          <w:p>
            <w:pPr>
              <w:jc w:val="center"/>
              <w:rPr>
                <w:rFonts w:ascii="宋体" w:hAnsi="宋体" w:cs="宋体"/>
                <w:color w:val="auto"/>
                <w:kern w:val="0"/>
                <w:sz w:val="22"/>
                <w:szCs w:val="22"/>
                <w:highlight w:val="none"/>
              </w:rPr>
            </w:pPr>
          </w:p>
        </w:tc>
        <w:tc>
          <w:tcPr>
            <w:tcW w:w="137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城南</w:t>
            </w:r>
          </w:p>
        </w:tc>
        <w:tc>
          <w:tcPr>
            <w:tcW w:w="198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80</w:t>
            </w:r>
          </w:p>
        </w:tc>
        <w:tc>
          <w:tcPr>
            <w:tcW w:w="1701" w:type="dxa"/>
            <w:vMerge w:val="continue"/>
            <w:tcBorders>
              <w:left w:val="nil"/>
              <w:right w:val="single" w:color="auto" w:sz="4" w:space="0"/>
            </w:tcBorders>
            <w:shd w:val="clear" w:color="auto" w:fill="auto"/>
            <w:noWrap/>
            <w:vAlign w:val="center"/>
          </w:tcPr>
          <w:p>
            <w:pPr>
              <w:jc w:val="center"/>
              <w:rPr>
                <w:rFonts w:ascii="宋体" w:hAnsi="宋体" w:cs="宋体"/>
                <w:color w:val="auto"/>
                <w:kern w:val="0"/>
                <w:sz w:val="22"/>
                <w:szCs w:val="22"/>
                <w:highlight w:val="none"/>
              </w:rPr>
            </w:pPr>
          </w:p>
        </w:tc>
        <w:tc>
          <w:tcPr>
            <w:tcW w:w="14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080" w:type="dxa"/>
            <w:vMerge w:val="continue"/>
            <w:tcBorders>
              <w:left w:val="single" w:color="auto" w:sz="4" w:space="0"/>
              <w:right w:val="single" w:color="auto" w:sz="4" w:space="0"/>
            </w:tcBorders>
            <w:vAlign w:val="center"/>
          </w:tcPr>
          <w:p>
            <w:pPr>
              <w:jc w:val="center"/>
              <w:rPr>
                <w:rFonts w:ascii="宋体" w:hAnsi="宋体" w:cs="宋体"/>
                <w:color w:val="auto"/>
                <w:kern w:val="0"/>
                <w:sz w:val="22"/>
                <w:szCs w:val="22"/>
                <w:highlight w:val="none"/>
              </w:rPr>
            </w:pPr>
          </w:p>
        </w:tc>
        <w:tc>
          <w:tcPr>
            <w:tcW w:w="137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城北</w:t>
            </w:r>
          </w:p>
        </w:tc>
        <w:tc>
          <w:tcPr>
            <w:tcW w:w="198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w:t>
            </w:r>
          </w:p>
        </w:tc>
        <w:tc>
          <w:tcPr>
            <w:tcW w:w="1701" w:type="dxa"/>
            <w:vMerge w:val="continue"/>
            <w:tcBorders>
              <w:left w:val="nil"/>
              <w:right w:val="single" w:color="auto" w:sz="4" w:space="0"/>
            </w:tcBorders>
            <w:shd w:val="clear" w:color="auto" w:fill="auto"/>
            <w:noWrap/>
            <w:vAlign w:val="center"/>
          </w:tcPr>
          <w:p>
            <w:pPr>
              <w:jc w:val="center"/>
              <w:rPr>
                <w:rFonts w:ascii="宋体" w:hAnsi="宋体" w:cs="宋体"/>
                <w:color w:val="auto"/>
                <w:kern w:val="0"/>
                <w:sz w:val="22"/>
                <w:szCs w:val="22"/>
                <w:highlight w:val="none"/>
              </w:rPr>
            </w:pPr>
          </w:p>
        </w:tc>
        <w:tc>
          <w:tcPr>
            <w:tcW w:w="14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080" w:type="dxa"/>
            <w:vMerge w:val="continue"/>
            <w:tcBorders>
              <w:left w:val="single" w:color="auto" w:sz="4" w:space="0"/>
              <w:right w:val="single" w:color="auto" w:sz="4" w:space="0"/>
            </w:tcBorders>
            <w:vAlign w:val="center"/>
          </w:tcPr>
          <w:p>
            <w:pPr>
              <w:jc w:val="center"/>
              <w:rPr>
                <w:rFonts w:ascii="宋体" w:hAnsi="宋体" w:cs="宋体"/>
                <w:color w:val="auto"/>
                <w:kern w:val="0"/>
                <w:sz w:val="22"/>
                <w:szCs w:val="22"/>
                <w:highlight w:val="none"/>
              </w:rPr>
            </w:pPr>
          </w:p>
        </w:tc>
        <w:tc>
          <w:tcPr>
            <w:tcW w:w="137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七百秧</w:t>
            </w:r>
          </w:p>
        </w:tc>
        <w:tc>
          <w:tcPr>
            <w:tcW w:w="198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40</w:t>
            </w:r>
          </w:p>
        </w:tc>
        <w:tc>
          <w:tcPr>
            <w:tcW w:w="1701" w:type="dxa"/>
            <w:vMerge w:val="continue"/>
            <w:tcBorders>
              <w:left w:val="nil"/>
              <w:right w:val="single" w:color="auto" w:sz="4" w:space="0"/>
            </w:tcBorders>
            <w:shd w:val="clear" w:color="auto" w:fill="auto"/>
            <w:noWrap/>
            <w:vAlign w:val="center"/>
          </w:tcPr>
          <w:p>
            <w:pPr>
              <w:jc w:val="center"/>
              <w:rPr>
                <w:rFonts w:ascii="宋体" w:hAnsi="宋体" w:cs="宋体"/>
                <w:color w:val="auto"/>
                <w:kern w:val="0"/>
                <w:sz w:val="22"/>
                <w:szCs w:val="22"/>
                <w:highlight w:val="none"/>
              </w:rPr>
            </w:pPr>
          </w:p>
        </w:tc>
        <w:tc>
          <w:tcPr>
            <w:tcW w:w="14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1080"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p>
        </w:tc>
        <w:tc>
          <w:tcPr>
            <w:tcW w:w="137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富岭</w:t>
            </w:r>
          </w:p>
        </w:tc>
        <w:tc>
          <w:tcPr>
            <w:tcW w:w="198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65</w:t>
            </w:r>
          </w:p>
        </w:tc>
        <w:tc>
          <w:tcPr>
            <w:tcW w:w="1701" w:type="dxa"/>
            <w:vMerge w:val="continue"/>
            <w:tcBorders>
              <w:left w:val="nil"/>
              <w:right w:val="single" w:color="auto" w:sz="4" w:space="0"/>
            </w:tcBorders>
            <w:shd w:val="clear" w:color="auto" w:fill="auto"/>
            <w:noWrap/>
            <w:vAlign w:val="center"/>
          </w:tcPr>
          <w:p>
            <w:pPr>
              <w:jc w:val="center"/>
              <w:rPr>
                <w:rFonts w:ascii="宋体" w:hAnsi="宋体" w:cs="宋体"/>
                <w:color w:val="auto"/>
                <w:kern w:val="0"/>
                <w:sz w:val="22"/>
                <w:szCs w:val="22"/>
                <w:highlight w:val="none"/>
              </w:rPr>
            </w:pPr>
          </w:p>
        </w:tc>
        <w:tc>
          <w:tcPr>
            <w:tcW w:w="14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08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37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风化</w:t>
            </w:r>
          </w:p>
        </w:tc>
        <w:tc>
          <w:tcPr>
            <w:tcW w:w="198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25</w:t>
            </w:r>
          </w:p>
        </w:tc>
        <w:tc>
          <w:tcPr>
            <w:tcW w:w="1701" w:type="dxa"/>
            <w:vMerge w:val="continue"/>
            <w:tcBorders>
              <w:left w:val="nil"/>
              <w:right w:val="single" w:color="auto" w:sz="4" w:space="0"/>
            </w:tcBorders>
            <w:shd w:val="clear" w:color="auto" w:fill="auto"/>
            <w:noWrap/>
            <w:vAlign w:val="center"/>
          </w:tcPr>
          <w:p>
            <w:pPr>
              <w:jc w:val="center"/>
              <w:rPr>
                <w:rFonts w:ascii="宋体" w:hAnsi="宋体" w:cs="宋体"/>
                <w:color w:val="auto"/>
                <w:kern w:val="0"/>
                <w:sz w:val="22"/>
                <w:szCs w:val="22"/>
                <w:highlight w:val="none"/>
              </w:rPr>
            </w:pPr>
          </w:p>
        </w:tc>
        <w:tc>
          <w:tcPr>
            <w:tcW w:w="14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108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37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九里</w:t>
            </w:r>
          </w:p>
        </w:tc>
        <w:tc>
          <w:tcPr>
            <w:tcW w:w="198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30</w:t>
            </w:r>
          </w:p>
        </w:tc>
        <w:tc>
          <w:tcPr>
            <w:tcW w:w="1701" w:type="dxa"/>
            <w:vMerge w:val="continue"/>
            <w:tcBorders>
              <w:left w:val="nil"/>
              <w:right w:val="single" w:color="auto" w:sz="4" w:space="0"/>
            </w:tcBorders>
            <w:shd w:val="clear" w:color="auto" w:fill="auto"/>
            <w:noWrap/>
            <w:vAlign w:val="center"/>
          </w:tcPr>
          <w:p>
            <w:pPr>
              <w:jc w:val="center"/>
              <w:rPr>
                <w:rFonts w:ascii="宋体" w:hAnsi="宋体" w:cs="宋体"/>
                <w:color w:val="auto"/>
                <w:kern w:val="0"/>
                <w:sz w:val="22"/>
                <w:szCs w:val="22"/>
                <w:highlight w:val="none"/>
              </w:rPr>
            </w:pPr>
          </w:p>
        </w:tc>
        <w:tc>
          <w:tcPr>
            <w:tcW w:w="14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10" w:hRule="atLeast"/>
        </w:trPr>
        <w:tc>
          <w:tcPr>
            <w:tcW w:w="353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p>
        </w:tc>
        <w:tc>
          <w:tcPr>
            <w:tcW w:w="198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370</w:t>
            </w:r>
          </w:p>
        </w:tc>
        <w:tc>
          <w:tcPr>
            <w:tcW w:w="1701"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p>
        </w:tc>
        <w:tc>
          <w:tcPr>
            <w:tcW w:w="14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p>
        </w:tc>
      </w:tr>
    </w:tbl>
    <w:p>
      <w:pPr>
        <w:rPr>
          <w:rFonts w:ascii="宋体" w:hAnsi="宋体" w:cs="宋体"/>
          <w:b/>
          <w:bCs/>
          <w:color w:val="auto"/>
          <w:szCs w:val="21"/>
          <w:highlight w:val="none"/>
        </w:rPr>
      </w:pPr>
      <w:r>
        <w:rPr>
          <w:rFonts w:hint="eastAsia" w:ascii="宋体" w:hAnsi="宋体" w:cs="宋体"/>
          <w:b/>
          <w:bCs/>
          <w:color w:val="auto"/>
          <w:szCs w:val="21"/>
          <w:highlight w:val="none"/>
        </w:rPr>
        <w:t>注：本项目最终结算价格为国家电网确认的装机容量乘以投标单价。</w:t>
      </w:r>
    </w:p>
    <w:p>
      <w:pPr>
        <w:pStyle w:val="20"/>
        <w:tabs>
          <w:tab w:val="left" w:pos="5419"/>
        </w:tabs>
        <w:kinsoku w:val="0"/>
        <w:overflowPunct w:val="0"/>
        <w:topLinePunct/>
        <w:spacing w:before="36" w:line="480" w:lineRule="auto"/>
        <w:ind w:firstLine="2472" w:firstLineChars="1200"/>
        <w:rPr>
          <w:color w:val="auto"/>
          <w:spacing w:val="-2"/>
          <w:sz w:val="21"/>
          <w:highlight w:val="none"/>
        </w:rPr>
      </w:pPr>
      <w:r>
        <w:rPr>
          <w:rFonts w:hint="eastAsia"/>
          <w:color w:val="auto"/>
          <w:spacing w:val="-2"/>
          <w:sz w:val="21"/>
          <w:highlight w:val="none"/>
        </w:rPr>
        <w:t>投标人：</w:t>
      </w:r>
      <w:r>
        <w:rPr>
          <w:color w:val="auto"/>
          <w:spacing w:val="-2"/>
          <w:sz w:val="21"/>
          <w:highlight w:val="none"/>
          <w:u w:val="single"/>
        </w:rPr>
        <w:t xml:space="preserve">                </w:t>
      </w:r>
      <w:r>
        <w:rPr>
          <w:rFonts w:hint="eastAsia"/>
          <w:color w:val="auto"/>
          <w:spacing w:val="-2"/>
          <w:sz w:val="21"/>
          <w:highlight w:val="none"/>
        </w:rPr>
        <w:t>（盖单位章）</w:t>
      </w:r>
    </w:p>
    <w:p>
      <w:pPr>
        <w:spacing w:line="480" w:lineRule="auto"/>
        <w:ind w:right="84" w:firstLine="2472" w:firstLineChars="1200"/>
        <w:rPr>
          <w:color w:val="auto"/>
          <w:spacing w:val="-2"/>
          <w:highlight w:val="none"/>
        </w:rPr>
      </w:pPr>
      <w:r>
        <w:rPr>
          <w:rFonts w:hint="eastAsia"/>
          <w:color w:val="auto"/>
          <w:spacing w:val="-2"/>
          <w:highlight w:val="none"/>
        </w:rPr>
        <w:t>法定代表人（单位负责人）或其委托代理人：</w:t>
      </w:r>
      <w:r>
        <w:rPr>
          <w:rFonts w:hint="eastAsia"/>
          <w:color w:val="auto"/>
          <w:spacing w:val="-2"/>
          <w:highlight w:val="none"/>
          <w:u w:val="single"/>
        </w:rPr>
        <w:t xml:space="preserve">          </w:t>
      </w:r>
      <w:r>
        <w:rPr>
          <w:rFonts w:hint="eastAsia"/>
          <w:color w:val="auto"/>
          <w:spacing w:val="-2"/>
          <w:highlight w:val="none"/>
        </w:rPr>
        <w:t>（签字）</w:t>
      </w:r>
    </w:p>
    <w:p>
      <w:pPr>
        <w:ind w:firstLine="4738" w:firstLineChars="2300"/>
        <w:rPr>
          <w:color w:val="auto"/>
          <w:spacing w:val="-2"/>
          <w:highlight w:val="none"/>
        </w:rPr>
      </w:pPr>
      <w:r>
        <w:rPr>
          <w:rFonts w:hint="eastAsia"/>
          <w:color w:val="auto"/>
          <w:spacing w:val="-2"/>
          <w:highlight w:val="none"/>
        </w:rPr>
        <w:t xml:space="preserve">   年    </w:t>
      </w:r>
      <w:r>
        <w:rPr>
          <w:color w:val="auto"/>
          <w:spacing w:val="-2"/>
          <w:highlight w:val="none"/>
        </w:rPr>
        <w:tab/>
      </w:r>
      <w:r>
        <w:rPr>
          <w:rFonts w:hint="eastAsia"/>
          <w:color w:val="auto"/>
          <w:spacing w:val="-2"/>
          <w:highlight w:val="none"/>
        </w:rPr>
        <w:t xml:space="preserve">月    </w:t>
      </w:r>
      <w:r>
        <w:rPr>
          <w:color w:val="auto"/>
          <w:spacing w:val="-2"/>
          <w:highlight w:val="none"/>
        </w:rPr>
        <w:tab/>
      </w:r>
      <w:r>
        <w:rPr>
          <w:rFonts w:hint="eastAsia"/>
          <w:color w:val="auto"/>
          <w:spacing w:val="-2"/>
          <w:highlight w:val="none"/>
        </w:rPr>
        <w:t>日</w:t>
      </w: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ind w:firstLine="4738" w:firstLineChars="2300"/>
        <w:rPr>
          <w:color w:val="auto"/>
          <w:spacing w:val="-2"/>
          <w:szCs w:val="21"/>
          <w:highlight w:val="none"/>
        </w:rPr>
      </w:pPr>
    </w:p>
    <w:p>
      <w:pPr>
        <w:rPr>
          <w:rFonts w:ascii="宋体" w:hAnsi="宋体" w:cs="宋体"/>
          <w:b/>
          <w:bCs/>
          <w:color w:val="auto"/>
          <w:sz w:val="24"/>
          <w:highlight w:val="none"/>
        </w:rPr>
      </w:pPr>
      <w:r>
        <w:rPr>
          <w:rFonts w:hint="eastAsia" w:ascii="宋体" w:hAnsi="宋体" w:cs="宋体"/>
          <w:color w:val="auto"/>
          <w:sz w:val="24"/>
          <w:highlight w:val="none"/>
        </w:rPr>
        <w:t>商表三：</w:t>
      </w:r>
    </w:p>
    <w:p>
      <w:pPr>
        <w:spacing w:line="360" w:lineRule="auto"/>
        <w:ind w:right="360"/>
        <w:jc w:val="center"/>
        <w:rPr>
          <w:rFonts w:ascii="宋体" w:hAnsi="宋体"/>
          <w:b/>
          <w:bCs/>
          <w:color w:val="auto"/>
          <w:sz w:val="32"/>
          <w:szCs w:val="32"/>
          <w:highlight w:val="none"/>
        </w:rPr>
      </w:pPr>
      <w:r>
        <w:rPr>
          <w:rFonts w:hint="eastAsia" w:ascii="宋体" w:hAnsi="宋体"/>
          <w:b/>
          <w:bCs/>
          <w:color w:val="auto"/>
          <w:sz w:val="32"/>
          <w:szCs w:val="32"/>
          <w:highlight w:val="none"/>
        </w:rPr>
        <w:t>工程量清单（含清单说明）</w:t>
      </w:r>
    </w:p>
    <w:p>
      <w:pPr>
        <w:spacing w:line="360" w:lineRule="auto"/>
        <w:ind w:right="360"/>
        <w:rPr>
          <w:rFonts w:ascii="宋体" w:hAnsi="宋体"/>
          <w:b/>
          <w:bCs/>
          <w:color w:val="auto"/>
          <w:sz w:val="32"/>
          <w:szCs w:val="32"/>
          <w:highlight w:val="none"/>
        </w:rPr>
      </w:pPr>
    </w:p>
    <w:p>
      <w:pPr>
        <w:spacing w:line="400" w:lineRule="exact"/>
        <w:ind w:right="17" w:rightChars="8"/>
        <w:rPr>
          <w:rFonts w:ascii="宋体" w:hAnsi="宋体"/>
          <w:b/>
          <w:bCs/>
          <w:color w:val="auto"/>
          <w:sz w:val="24"/>
          <w:highlight w:val="none"/>
        </w:rPr>
      </w:pPr>
      <w:r>
        <w:rPr>
          <w:rFonts w:hint="eastAsia" w:ascii="宋体" w:hAnsi="宋体"/>
          <w:b/>
          <w:bCs/>
          <w:color w:val="auto"/>
          <w:sz w:val="24"/>
          <w:highlight w:val="none"/>
        </w:rPr>
        <w:t>注：1、各投标单位按招标文件第三章技术要求自行编制，未提供工程量清单的，按否决投标处理。</w:t>
      </w:r>
    </w:p>
    <w:p>
      <w:pPr>
        <w:spacing w:line="400" w:lineRule="exact"/>
        <w:ind w:right="17" w:rightChars="8"/>
        <w:rPr>
          <w:rFonts w:ascii="宋体" w:hAnsi="宋体"/>
          <w:b/>
          <w:bCs/>
          <w:color w:val="auto"/>
          <w:sz w:val="24"/>
          <w:highlight w:val="none"/>
        </w:rPr>
      </w:pPr>
      <w:r>
        <w:rPr>
          <w:rFonts w:hint="eastAsia" w:ascii="宋体" w:hAnsi="宋体"/>
          <w:b/>
          <w:bCs/>
          <w:color w:val="auto"/>
          <w:sz w:val="24"/>
          <w:highlight w:val="none"/>
        </w:rPr>
        <w:t>2、每个加油站清单需单独编制。</w:t>
      </w:r>
    </w:p>
    <w:p>
      <w:pPr>
        <w:spacing w:line="360" w:lineRule="auto"/>
        <w:rPr>
          <w:b/>
          <w:color w:val="auto"/>
          <w:sz w:val="32"/>
          <w:highlight w:val="none"/>
        </w:rPr>
      </w:pPr>
      <w:r>
        <w:rPr>
          <w:rFonts w:hint="eastAsia" w:ascii="宋体" w:hAnsi="宋体"/>
          <w:bCs/>
          <w:color w:val="auto"/>
          <w:sz w:val="24"/>
          <w:highlight w:val="none"/>
        </w:rPr>
        <w:br w:type="page"/>
      </w:r>
      <w:r>
        <w:rPr>
          <w:rFonts w:hint="eastAsia" w:ascii="宋体" w:hAnsi="宋体"/>
          <w:bCs/>
          <w:color w:val="auto"/>
          <w:sz w:val="24"/>
          <w:highlight w:val="none"/>
        </w:rPr>
        <w:t>商表四：</w:t>
      </w:r>
    </w:p>
    <w:p>
      <w:pPr>
        <w:spacing w:line="360" w:lineRule="auto"/>
        <w:ind w:right="360"/>
        <w:rPr>
          <w:rFonts w:ascii="宋体" w:hAnsi="宋体"/>
          <w:bCs/>
          <w:color w:val="auto"/>
          <w:sz w:val="24"/>
          <w:highlight w:val="none"/>
        </w:rPr>
      </w:pPr>
    </w:p>
    <w:p>
      <w:pPr>
        <w:spacing w:line="480" w:lineRule="auto"/>
        <w:ind w:firstLine="601"/>
        <w:jc w:val="center"/>
        <w:rPr>
          <w:b/>
          <w:color w:val="auto"/>
          <w:sz w:val="32"/>
          <w:highlight w:val="none"/>
        </w:rPr>
      </w:pPr>
      <w:r>
        <w:rPr>
          <w:rFonts w:hint="eastAsia"/>
          <w:b/>
          <w:color w:val="auto"/>
          <w:sz w:val="32"/>
          <w:highlight w:val="none"/>
        </w:rPr>
        <w:t>法定代表人资格证明书</w:t>
      </w:r>
    </w:p>
    <w:p>
      <w:pPr>
        <w:spacing w:line="480" w:lineRule="auto"/>
        <w:ind w:firstLine="601"/>
        <w:jc w:val="center"/>
        <w:rPr>
          <w:b/>
          <w:color w:val="auto"/>
          <w:sz w:val="32"/>
          <w:highlight w:val="none"/>
        </w:rPr>
      </w:pPr>
    </w:p>
    <w:p>
      <w:pPr>
        <w:spacing w:line="480" w:lineRule="auto"/>
        <w:ind w:firstLine="601"/>
        <w:rPr>
          <w:color w:val="auto"/>
          <w:sz w:val="24"/>
          <w:highlight w:val="none"/>
        </w:rPr>
      </w:pPr>
      <w:r>
        <w:rPr>
          <w:rFonts w:hint="eastAsia"/>
          <w:color w:val="auto"/>
          <w:sz w:val="24"/>
          <w:highlight w:val="none"/>
        </w:rPr>
        <w:t>单位名称：</w:t>
      </w:r>
      <w:r>
        <w:rPr>
          <w:rFonts w:hint="eastAsia"/>
          <w:color w:val="auto"/>
          <w:sz w:val="24"/>
          <w:highlight w:val="none"/>
          <w:u w:val="single"/>
        </w:rPr>
        <w:t xml:space="preserve">              　　　　　　　　　　　　　    </w:t>
      </w:r>
    </w:p>
    <w:p>
      <w:pPr>
        <w:spacing w:line="480" w:lineRule="auto"/>
        <w:ind w:firstLine="601"/>
        <w:rPr>
          <w:color w:val="auto"/>
          <w:sz w:val="24"/>
          <w:highlight w:val="none"/>
        </w:rPr>
      </w:pPr>
      <w:r>
        <w:rPr>
          <w:rFonts w:hint="eastAsia"/>
          <w:color w:val="auto"/>
          <w:sz w:val="24"/>
          <w:highlight w:val="none"/>
        </w:rPr>
        <w:t>经营期限：</w:t>
      </w:r>
      <w:r>
        <w:rPr>
          <w:rFonts w:hint="eastAsia"/>
          <w:color w:val="auto"/>
          <w:sz w:val="24"/>
          <w:highlight w:val="none"/>
          <w:u w:val="single"/>
        </w:rPr>
        <w:t>　　　　　　　　　　　　　　　　　　　　　　　　　　　</w:t>
      </w:r>
      <w:r>
        <w:rPr>
          <w:rFonts w:hint="eastAsia"/>
          <w:color w:val="auto"/>
          <w:sz w:val="24"/>
          <w:highlight w:val="none"/>
        </w:rPr>
        <w:t>　　　</w:t>
      </w:r>
    </w:p>
    <w:p>
      <w:pPr>
        <w:spacing w:line="480" w:lineRule="auto"/>
        <w:ind w:left="479" w:leftChars="228" w:firstLine="120" w:firstLineChars="50"/>
        <w:rPr>
          <w:color w:val="auto"/>
          <w:sz w:val="24"/>
          <w:highlight w:val="none"/>
        </w:rPr>
      </w:pPr>
      <w:r>
        <w:rPr>
          <w:rFonts w:hint="eastAsia"/>
          <w:color w:val="auto"/>
          <w:sz w:val="24"/>
          <w:highlight w:val="none"/>
        </w:rPr>
        <w:t>姓名：</w:t>
      </w:r>
      <w:r>
        <w:rPr>
          <w:rFonts w:hint="eastAsia"/>
          <w:color w:val="auto"/>
          <w:sz w:val="24"/>
          <w:highlight w:val="none"/>
          <w:u w:val="single"/>
        </w:rPr>
        <w:t>　　　　</w:t>
      </w:r>
      <w:r>
        <w:rPr>
          <w:rFonts w:hint="eastAsia"/>
          <w:color w:val="auto"/>
          <w:sz w:val="24"/>
          <w:highlight w:val="none"/>
        </w:rPr>
        <w:t xml:space="preserve"> </w:t>
      </w:r>
      <w:r>
        <w:rPr>
          <w:rFonts w:hint="eastAsia" w:ascii="宋体" w:hAnsi="宋体"/>
          <w:color w:val="auto"/>
          <w:sz w:val="24"/>
          <w:highlight w:val="none"/>
        </w:rPr>
        <w:t>身份证号码：</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color w:val="auto"/>
          <w:sz w:val="24"/>
          <w:highlight w:val="none"/>
        </w:rPr>
        <w:t>性别：</w:t>
      </w:r>
      <w:r>
        <w:rPr>
          <w:rFonts w:hint="eastAsia"/>
          <w:color w:val="auto"/>
          <w:sz w:val="24"/>
          <w:highlight w:val="none"/>
          <w:u w:val="single"/>
        </w:rPr>
        <w:t xml:space="preserve">　　                </w:t>
      </w:r>
      <w:r>
        <w:rPr>
          <w:rFonts w:hint="eastAsia"/>
          <w:color w:val="auto"/>
          <w:sz w:val="24"/>
          <w:highlight w:val="none"/>
        </w:rPr>
        <w:t>年龄：</w:t>
      </w:r>
      <w:r>
        <w:rPr>
          <w:rFonts w:hint="eastAsia"/>
          <w:color w:val="auto"/>
          <w:sz w:val="24"/>
          <w:highlight w:val="none"/>
          <w:u w:val="single"/>
        </w:rPr>
        <w:t>　　　　</w:t>
      </w:r>
      <w:r>
        <w:rPr>
          <w:rFonts w:hint="eastAsia"/>
          <w:color w:val="auto"/>
          <w:sz w:val="24"/>
          <w:highlight w:val="none"/>
        </w:rPr>
        <w:t>职务</w:t>
      </w:r>
      <w:r>
        <w:rPr>
          <w:rFonts w:hint="eastAsia"/>
          <w:color w:val="auto"/>
          <w:sz w:val="24"/>
          <w:highlight w:val="none"/>
          <w:u w:val="single"/>
        </w:rPr>
        <w:t>　　　　　</w:t>
      </w:r>
      <w:r>
        <w:rPr>
          <w:rFonts w:hint="eastAsia"/>
          <w:color w:val="auto"/>
          <w:sz w:val="24"/>
          <w:highlight w:val="none"/>
        </w:rPr>
        <w:t>系</w:t>
      </w:r>
      <w:r>
        <w:rPr>
          <w:rFonts w:hint="eastAsia"/>
          <w:color w:val="auto"/>
          <w:sz w:val="24"/>
          <w:highlight w:val="none"/>
          <w:u w:val="single"/>
        </w:rPr>
        <w:t>　　　　（投标人单位名称）　　　　　</w:t>
      </w:r>
      <w:r>
        <w:rPr>
          <w:rFonts w:hint="eastAsia"/>
          <w:color w:val="auto"/>
          <w:sz w:val="24"/>
          <w:highlight w:val="none"/>
        </w:rPr>
        <w:t>的法定代表人。</w:t>
      </w:r>
    </w:p>
    <w:p>
      <w:pPr>
        <w:spacing w:line="480" w:lineRule="auto"/>
        <w:ind w:firstLine="601"/>
        <w:rPr>
          <w:color w:val="auto"/>
          <w:sz w:val="24"/>
          <w:highlight w:val="none"/>
        </w:rPr>
      </w:pPr>
    </w:p>
    <w:p>
      <w:pPr>
        <w:spacing w:line="360" w:lineRule="auto"/>
        <w:ind w:firstLine="600"/>
        <w:rPr>
          <w:color w:val="auto"/>
          <w:sz w:val="24"/>
          <w:highlight w:val="none"/>
        </w:rPr>
      </w:pPr>
    </w:p>
    <w:p>
      <w:pPr>
        <w:spacing w:line="360" w:lineRule="auto"/>
        <w:ind w:firstLine="600"/>
        <w:rPr>
          <w:color w:val="auto"/>
          <w:sz w:val="24"/>
          <w:highlight w:val="none"/>
        </w:rPr>
      </w:pPr>
      <w:r>
        <w:rPr>
          <w:rFonts w:hint="eastAsia"/>
          <w:color w:val="auto"/>
          <w:sz w:val="24"/>
          <w:highlight w:val="none"/>
        </w:rPr>
        <w:t>　　　　特此证明。</w:t>
      </w:r>
    </w:p>
    <w:p>
      <w:pPr>
        <w:spacing w:line="360" w:lineRule="auto"/>
        <w:ind w:firstLine="600"/>
        <w:rPr>
          <w:color w:val="auto"/>
          <w:sz w:val="24"/>
          <w:highlight w:val="none"/>
        </w:rPr>
      </w:pPr>
    </w:p>
    <w:p>
      <w:pPr>
        <w:spacing w:line="360" w:lineRule="auto"/>
        <w:ind w:firstLine="600"/>
        <w:rPr>
          <w:color w:val="auto"/>
          <w:sz w:val="24"/>
          <w:highlight w:val="none"/>
        </w:rPr>
      </w:pPr>
    </w:p>
    <w:p>
      <w:pPr>
        <w:spacing w:line="360" w:lineRule="auto"/>
        <w:ind w:firstLine="600"/>
        <w:rPr>
          <w:color w:val="auto"/>
          <w:sz w:val="24"/>
          <w:highlight w:val="none"/>
        </w:rPr>
      </w:pPr>
    </w:p>
    <w:p>
      <w:pPr>
        <w:spacing w:line="360" w:lineRule="auto"/>
        <w:ind w:firstLine="600"/>
        <w:rPr>
          <w:color w:val="auto"/>
          <w:sz w:val="24"/>
          <w:highlight w:val="none"/>
        </w:rPr>
      </w:pPr>
    </w:p>
    <w:p>
      <w:pPr>
        <w:spacing w:line="360" w:lineRule="auto"/>
        <w:ind w:firstLine="600"/>
        <w:rPr>
          <w:color w:val="auto"/>
          <w:sz w:val="24"/>
          <w:highlight w:val="none"/>
        </w:rPr>
      </w:pPr>
    </w:p>
    <w:p>
      <w:pPr>
        <w:spacing w:line="360" w:lineRule="auto"/>
        <w:ind w:firstLine="600"/>
        <w:rPr>
          <w:color w:val="auto"/>
          <w:sz w:val="24"/>
          <w:highlight w:val="none"/>
        </w:rPr>
      </w:pPr>
    </w:p>
    <w:p>
      <w:pPr>
        <w:spacing w:line="360" w:lineRule="auto"/>
        <w:ind w:firstLine="600"/>
        <w:rPr>
          <w:color w:val="auto"/>
          <w:sz w:val="24"/>
          <w:highlight w:val="none"/>
        </w:rPr>
      </w:pPr>
    </w:p>
    <w:p>
      <w:pPr>
        <w:spacing w:line="360" w:lineRule="auto"/>
        <w:ind w:firstLine="600"/>
        <w:rPr>
          <w:color w:val="auto"/>
          <w:sz w:val="24"/>
          <w:highlight w:val="none"/>
        </w:rPr>
      </w:pPr>
    </w:p>
    <w:p>
      <w:pPr>
        <w:spacing w:line="360" w:lineRule="auto"/>
        <w:ind w:firstLine="600"/>
        <w:rPr>
          <w:color w:val="auto"/>
          <w:sz w:val="24"/>
          <w:highlight w:val="none"/>
          <w:u w:val="single"/>
        </w:rPr>
      </w:pPr>
      <w:r>
        <w:rPr>
          <w:rFonts w:hint="eastAsia"/>
          <w:color w:val="auto"/>
          <w:sz w:val="24"/>
          <w:highlight w:val="none"/>
        </w:rPr>
        <w:t>　　　　　　　　　　　　　　　　　　投标人：</w:t>
      </w:r>
      <w:r>
        <w:rPr>
          <w:rFonts w:hint="eastAsia"/>
          <w:color w:val="auto"/>
          <w:sz w:val="24"/>
          <w:highlight w:val="none"/>
          <w:u w:val="single"/>
        </w:rPr>
        <w:t>　　　　（盖公章）　　</w:t>
      </w:r>
    </w:p>
    <w:p>
      <w:pPr>
        <w:spacing w:line="360" w:lineRule="auto"/>
        <w:ind w:firstLine="600"/>
        <w:rPr>
          <w:color w:val="auto"/>
          <w:sz w:val="24"/>
          <w:highlight w:val="none"/>
        </w:rPr>
      </w:pPr>
      <w:r>
        <w:rPr>
          <w:rFonts w:hint="eastAsia"/>
          <w:color w:val="auto"/>
          <w:sz w:val="24"/>
          <w:highlight w:val="none"/>
        </w:rPr>
        <w:t>　　　　　　　　　　　　　　　　　　日期：　　　年　　　月　　日</w:t>
      </w:r>
    </w:p>
    <w:p>
      <w:pPr>
        <w:spacing w:line="360" w:lineRule="auto"/>
        <w:ind w:firstLine="600"/>
        <w:rPr>
          <w:color w:val="auto"/>
          <w:sz w:val="24"/>
          <w:highlight w:val="none"/>
        </w:rPr>
      </w:pPr>
    </w:p>
    <w:p>
      <w:pPr>
        <w:spacing w:line="360" w:lineRule="auto"/>
        <w:jc w:val="center"/>
        <w:rPr>
          <w:rFonts w:eastAsia="黑体"/>
          <w:bCs/>
          <w:color w:val="auto"/>
          <w:sz w:val="30"/>
          <w:highlight w:val="none"/>
        </w:rPr>
      </w:pPr>
      <w:r>
        <w:rPr>
          <w:rFonts w:hint="eastAsia"/>
          <w:color w:val="auto"/>
          <w:sz w:val="24"/>
          <w:highlight w:val="none"/>
        </w:rPr>
        <w:br w:type="page"/>
      </w:r>
      <w:r>
        <w:rPr>
          <w:rFonts w:hint="eastAsia" w:eastAsia="黑体"/>
          <w:bCs/>
          <w:color w:val="auto"/>
          <w:sz w:val="30"/>
          <w:highlight w:val="none"/>
        </w:rPr>
        <w:t>授权委托书</w:t>
      </w:r>
    </w:p>
    <w:p>
      <w:pPr>
        <w:spacing w:line="540" w:lineRule="exact"/>
        <w:ind w:right="-10"/>
        <w:jc w:val="center"/>
        <w:rPr>
          <w:rFonts w:eastAsia="黑体"/>
          <w:b/>
          <w:color w:val="auto"/>
          <w:highlight w:val="none"/>
        </w:rPr>
      </w:pPr>
    </w:p>
    <w:p>
      <w:pPr>
        <w:snapToGrid w:val="0"/>
        <w:spacing w:line="480" w:lineRule="auto"/>
        <w:ind w:firstLine="720" w:firstLineChars="300"/>
        <w:rPr>
          <w:rFonts w:eastAsia="仿宋_GB2312"/>
          <w:color w:val="auto"/>
          <w:spacing w:val="40"/>
          <w:sz w:val="24"/>
          <w:highlight w:val="none"/>
        </w:rPr>
      </w:pPr>
      <w:r>
        <w:rPr>
          <w:color w:val="auto"/>
          <w:sz w:val="24"/>
          <w:highlight w:val="none"/>
        </w:rPr>
        <w:pict>
          <v:line id="直线 2" o:spid="_x0000_s1027" o:spt="20" style="position:absolute;left:0pt;margin-left:332.9pt;margin-top:85.6pt;height:0pt;width:0.05pt;z-index:251660288;mso-width-relative:page;mso-height-relative:page;" coordsize="21600,21600" o:gfxdata="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ni7NtYAAAALAQAADwAAAAAAAAABACAAAAAiAAAAZHJzL2Rv&#10;d25yZXYueG1sUEsBAhQAFAAAAAgAh07iQELZxPPKAQAAiQMAAA4AAAAAAAAAAQAgAAAAJQEAAGRy&#10;cy9lMm9Eb2MueG1sUEsFBgAAAAAGAAYAWQEAAGEFAAAAAA==&#10;">
            <v:path arrowok="t"/>
            <v:fill focussize="0,0"/>
            <v:stroke/>
            <v:imagedata o:title=""/>
            <o:lock v:ext="edit"/>
          </v:line>
        </w:pict>
      </w:r>
      <w:r>
        <w:rPr>
          <w:rFonts w:hint="eastAsia"/>
          <w:color w:val="auto"/>
          <w:sz w:val="24"/>
          <w:highlight w:val="none"/>
        </w:rPr>
        <w:t>我</w:t>
      </w:r>
      <w:r>
        <w:rPr>
          <w:color w:val="auto"/>
          <w:sz w:val="24"/>
          <w:highlight w:val="none"/>
        </w:rPr>
        <w:t xml:space="preserve"> </w:t>
      </w:r>
      <w:r>
        <w:rPr>
          <w:color w:val="auto"/>
          <w:sz w:val="24"/>
          <w:highlight w:val="none"/>
          <w:u w:val="single"/>
        </w:rPr>
        <w:t xml:space="preserve">          </w:t>
      </w:r>
      <w:r>
        <w:rPr>
          <w:rFonts w:hint="eastAsia"/>
          <w:color w:val="auto"/>
          <w:sz w:val="24"/>
          <w:highlight w:val="none"/>
        </w:rPr>
        <w:t>（姓名）系</w:t>
      </w:r>
      <w:r>
        <w:rPr>
          <w:color w:val="auto"/>
          <w:sz w:val="24"/>
          <w:highlight w:val="none"/>
          <w:u w:val="single"/>
        </w:rPr>
        <w:t xml:space="preserve">                 </w:t>
      </w:r>
      <w:r>
        <w:rPr>
          <w:rFonts w:hint="eastAsia"/>
          <w:color w:val="auto"/>
          <w:sz w:val="24"/>
          <w:highlight w:val="none"/>
        </w:rPr>
        <w:t>（投标单位名称）的法定代表人，现授权委托</w:t>
      </w:r>
      <w:r>
        <w:rPr>
          <w:color w:val="auto"/>
          <w:sz w:val="24"/>
          <w:highlight w:val="none"/>
          <w:u w:val="single"/>
        </w:rPr>
        <w:t xml:space="preserve">                          </w:t>
      </w:r>
      <w:r>
        <w:rPr>
          <w:rFonts w:hint="eastAsia"/>
          <w:color w:val="auto"/>
          <w:sz w:val="24"/>
          <w:highlight w:val="none"/>
        </w:rPr>
        <w:t>（单位名称）的</w:t>
      </w:r>
      <w:r>
        <w:rPr>
          <w:color w:val="auto"/>
          <w:sz w:val="24"/>
          <w:highlight w:val="none"/>
          <w:u w:val="single"/>
        </w:rPr>
        <w:t xml:space="preserve">    </w:t>
      </w:r>
      <w:r>
        <w:rPr>
          <w:rFonts w:hint="eastAsia"/>
          <w:color w:val="auto"/>
          <w:sz w:val="24"/>
          <w:highlight w:val="none"/>
        </w:rPr>
        <w:t>（姓名）为我的代理人，身份证号码</w:t>
      </w:r>
      <w:r>
        <w:rPr>
          <w:color w:val="auto"/>
          <w:sz w:val="24"/>
          <w:highlight w:val="none"/>
          <w:u w:val="single"/>
        </w:rPr>
        <w:t xml:space="preserve">          </w:t>
      </w:r>
      <w:r>
        <w:rPr>
          <w:color w:val="auto"/>
          <w:sz w:val="24"/>
          <w:highlight w:val="none"/>
        </w:rPr>
        <w:t xml:space="preserve"> </w:t>
      </w:r>
      <w:r>
        <w:rPr>
          <w:rFonts w:hint="eastAsia"/>
          <w:color w:val="auto"/>
          <w:sz w:val="24"/>
          <w:highlight w:val="none"/>
        </w:rPr>
        <w:t>，代理人参加</w:t>
      </w:r>
      <w:r>
        <w:rPr>
          <w:color w:val="auto"/>
          <w:sz w:val="24"/>
          <w:highlight w:val="none"/>
          <w:u w:val="single"/>
        </w:rPr>
        <w:t xml:space="preserve">        </w:t>
      </w:r>
      <w:r>
        <w:rPr>
          <w:rFonts w:hint="eastAsia"/>
          <w:color w:val="auto"/>
          <w:sz w:val="24"/>
          <w:highlight w:val="none"/>
        </w:rPr>
        <w:t>工程的招投标活动，有权当场作出承诺以及对投标书作出技术性补充，代理人在招投标过程中所签署的一切文书和处理与之有关的一切事项，我均予以承认。</w:t>
      </w:r>
    </w:p>
    <w:p>
      <w:pPr>
        <w:spacing w:line="360" w:lineRule="auto"/>
        <w:ind w:right="-10" w:firstLine="800"/>
        <w:rPr>
          <w:rFonts w:ascii="宋体" w:hAnsi="宋体"/>
          <w:color w:val="auto"/>
          <w:sz w:val="24"/>
          <w:highlight w:val="none"/>
        </w:rPr>
      </w:pPr>
      <w:r>
        <w:rPr>
          <w:rFonts w:hint="eastAsia" w:ascii="宋体" w:hAnsi="宋体"/>
          <w:color w:val="auto"/>
          <w:sz w:val="24"/>
          <w:highlight w:val="none"/>
        </w:rPr>
        <w:t>特此委托。</w:t>
      </w:r>
    </w:p>
    <w:p>
      <w:pPr>
        <w:spacing w:line="540" w:lineRule="exact"/>
        <w:ind w:right="-10"/>
        <w:rPr>
          <w:rFonts w:ascii="宋体" w:hAnsi="宋体"/>
          <w:color w:val="auto"/>
          <w:sz w:val="24"/>
          <w:highlight w:val="none"/>
        </w:rPr>
      </w:pPr>
    </w:p>
    <w:p>
      <w:pPr>
        <w:spacing w:line="540" w:lineRule="exact"/>
        <w:ind w:right="-10"/>
        <w:rPr>
          <w:rFonts w:ascii="宋体" w:hAnsi="宋体"/>
          <w:color w:val="auto"/>
          <w:sz w:val="24"/>
          <w:highlight w:val="none"/>
        </w:rPr>
      </w:pPr>
    </w:p>
    <w:p>
      <w:pPr>
        <w:spacing w:line="540" w:lineRule="exact"/>
        <w:ind w:right="-10" w:firstLine="800"/>
        <w:rPr>
          <w:rFonts w:ascii="宋体" w:hAnsi="宋体"/>
          <w:color w:val="auto"/>
          <w:sz w:val="24"/>
          <w:highlight w:val="none"/>
        </w:rPr>
      </w:pPr>
      <w:r>
        <w:rPr>
          <w:rFonts w:hint="eastAsia" w:ascii="宋体" w:hAnsi="宋体"/>
          <w:color w:val="auto"/>
          <w:sz w:val="24"/>
          <w:highlight w:val="none"/>
        </w:rPr>
        <w:t>代理人：                性别：                   年龄：</w:t>
      </w:r>
    </w:p>
    <w:p>
      <w:pPr>
        <w:spacing w:line="540" w:lineRule="exact"/>
        <w:ind w:right="-10" w:firstLine="800"/>
        <w:rPr>
          <w:rFonts w:ascii="宋体" w:hAnsi="宋体"/>
          <w:color w:val="auto"/>
          <w:sz w:val="24"/>
          <w:highlight w:val="none"/>
        </w:rPr>
      </w:pPr>
      <w:r>
        <w:rPr>
          <w:rFonts w:hint="eastAsia" w:ascii="宋体" w:hAnsi="宋体"/>
          <w:color w:val="auto"/>
          <w:sz w:val="24"/>
          <w:highlight w:val="none"/>
        </w:rPr>
        <w:t>单位：                   部门：                  职务：</w:t>
      </w:r>
    </w:p>
    <w:p>
      <w:pPr>
        <w:spacing w:line="540" w:lineRule="exact"/>
        <w:ind w:right="-10" w:firstLine="900"/>
        <w:rPr>
          <w:rFonts w:ascii="宋体" w:hAnsi="宋体"/>
          <w:color w:val="auto"/>
          <w:sz w:val="24"/>
          <w:highlight w:val="none"/>
        </w:rPr>
      </w:pPr>
    </w:p>
    <w:p>
      <w:pPr>
        <w:spacing w:line="540" w:lineRule="exact"/>
        <w:ind w:right="-10"/>
        <w:rPr>
          <w:rFonts w:ascii="宋体" w:hAnsi="宋体"/>
          <w:color w:val="auto"/>
          <w:sz w:val="24"/>
          <w:highlight w:val="none"/>
        </w:rPr>
      </w:pPr>
      <w:r>
        <w:rPr>
          <w:rFonts w:hint="eastAsia" w:ascii="宋体" w:hAnsi="宋体"/>
          <w:color w:val="auto"/>
          <w:sz w:val="24"/>
          <w:highlight w:val="none"/>
        </w:rPr>
        <w:t xml:space="preserve">      投标单位：（盖章）</w:t>
      </w:r>
    </w:p>
    <w:p>
      <w:pPr>
        <w:spacing w:line="540" w:lineRule="exact"/>
        <w:ind w:right="-10" w:firstLine="800"/>
        <w:rPr>
          <w:rFonts w:ascii="宋体" w:hAnsi="宋体"/>
          <w:color w:val="auto"/>
          <w:sz w:val="24"/>
          <w:highlight w:val="none"/>
        </w:rPr>
      </w:pPr>
      <w:r>
        <w:rPr>
          <w:rFonts w:hint="eastAsia" w:ascii="宋体" w:hAnsi="宋体"/>
          <w:color w:val="auto"/>
          <w:sz w:val="24"/>
          <w:highlight w:val="none"/>
        </w:rPr>
        <w:t>法定代表人：（签字或盖章）</w:t>
      </w:r>
    </w:p>
    <w:p>
      <w:pPr>
        <w:spacing w:line="540" w:lineRule="exact"/>
        <w:ind w:right="-10"/>
        <w:rPr>
          <w:rFonts w:ascii="宋体" w:hAnsi="宋体"/>
          <w:color w:val="auto"/>
          <w:sz w:val="24"/>
          <w:highlight w:val="none"/>
        </w:rPr>
      </w:pPr>
      <w:r>
        <w:rPr>
          <w:rFonts w:hint="eastAsia" w:ascii="宋体" w:hAnsi="宋体"/>
          <w:color w:val="auto"/>
          <w:sz w:val="24"/>
          <w:highlight w:val="none"/>
        </w:rPr>
        <w:t xml:space="preserve">      日期：       年     月    日</w:t>
      </w:r>
    </w:p>
    <w:p>
      <w:pPr>
        <w:rPr>
          <w:rFonts w:ascii="宋体" w:hAnsi="宋体"/>
          <w:bCs/>
          <w:color w:val="auto"/>
          <w:sz w:val="24"/>
          <w:highlight w:val="none"/>
        </w:rPr>
      </w:pPr>
    </w:p>
    <w:p>
      <w:pPr>
        <w:rPr>
          <w:rFonts w:ascii="宋体" w:hAnsi="宋体"/>
          <w:bCs/>
          <w:color w:val="auto"/>
          <w:sz w:val="24"/>
          <w:highlight w:val="none"/>
        </w:rPr>
      </w:pPr>
    </w:p>
    <w:p>
      <w:pPr>
        <w:pStyle w:val="76"/>
        <w:spacing w:line="600" w:lineRule="exact"/>
        <w:ind w:firstLine="720" w:firstLineChars="300"/>
        <w:jc w:val="left"/>
        <w:rPr>
          <w:rFonts w:ascii="宋体" w:hAnsi="宋体"/>
          <w:bCs/>
          <w:color w:val="auto"/>
          <w:sz w:val="24"/>
          <w:highlight w:val="none"/>
        </w:rPr>
      </w:pPr>
      <w:r>
        <w:rPr>
          <w:color w:val="auto"/>
          <w:sz w:val="24"/>
          <w:highlight w:val="none"/>
        </w:rPr>
        <w:pict>
          <v:shape id="文本框 5" o:spid="_x0000_s1028" o:spt="202" type="#_x0000_t202" style="position:absolute;left:0pt;margin-left:6.8pt;margin-top:5.95pt;height:136.2pt;width:425.3pt;z-index:251661312;mso-width-relative:page;mso-height-relative:page;" coordsize="21600,21600" o:gfxdata="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nN9tB1gAAAAkBAAAPAAAAAAAAAAEA&#10;IAAAACIAAABkcnMvZG93bnJldi54bWxQSwECFAAUAAAACACHTuJAx2AovkoCAAB2BAAADgAAAAAA&#10;AAABACAAAAAlAQAAZHJzL2Uyb0RvYy54bWxQSwUGAAAAAAYABgBZAQAA4QUAAAAA&#10;">
            <v:path/>
            <v:fill focussize="0,0"/>
            <v:stroke weight="0.5pt" joinstyle="round"/>
            <v:imagedata o:title=""/>
            <o:lock v:ext="edit"/>
            <v:textbox>
              <w:txbxContent>
                <w:p/>
                <w:p>
                  <w:pPr>
                    <w:rPr>
                      <w:sz w:val="28"/>
                      <w:szCs w:val="28"/>
                    </w:rPr>
                  </w:pPr>
                </w:p>
                <w:p>
                  <w:pPr>
                    <w:rPr>
                      <w:sz w:val="28"/>
                      <w:szCs w:val="28"/>
                    </w:rPr>
                  </w:pPr>
                  <w:r>
                    <w:rPr>
                      <w:rFonts w:hint="eastAsia"/>
                      <w:sz w:val="28"/>
                      <w:szCs w:val="28"/>
                    </w:rPr>
                    <w:t xml:space="preserve">               被授权人身份证复印件（正、反面）</w:t>
                  </w:r>
                </w:p>
              </w:txbxContent>
            </v:textbox>
          </v:shape>
        </w:pict>
      </w:r>
      <w:r>
        <w:rPr>
          <w:rFonts w:ascii="宋体" w:hAnsi="宋体"/>
          <w:bCs/>
          <w:color w:val="auto"/>
          <w:sz w:val="24"/>
          <w:highlight w:val="none"/>
        </w:rPr>
        <w:br w:type="page"/>
      </w:r>
      <w:r>
        <w:rPr>
          <w:rFonts w:hint="eastAsia" w:ascii="宋体" w:hAnsi="宋体"/>
          <w:bCs/>
          <w:color w:val="auto"/>
          <w:sz w:val="24"/>
          <w:highlight w:val="none"/>
        </w:rPr>
        <w:t>商表五</w:t>
      </w:r>
    </w:p>
    <w:p>
      <w:pPr>
        <w:pStyle w:val="76"/>
        <w:spacing w:line="600" w:lineRule="exact"/>
        <w:ind w:firstLine="630" w:firstLineChars="300"/>
        <w:jc w:val="center"/>
        <w:rPr>
          <w:color w:val="auto"/>
          <w:szCs w:val="21"/>
          <w:highlight w:val="none"/>
        </w:rPr>
      </w:pPr>
      <w:r>
        <w:rPr>
          <w:rFonts w:hint="eastAsia" w:ascii="宋体" w:hAnsi="宋体"/>
          <w:b/>
          <w:color w:val="auto"/>
          <w:szCs w:val="28"/>
          <w:highlight w:val="none"/>
        </w:rPr>
        <w:t>一、企业营业执照副本【复印件】；</w:t>
      </w:r>
    </w:p>
    <w:p>
      <w:pPr>
        <w:spacing w:line="640" w:lineRule="exact"/>
        <w:jc w:val="center"/>
        <w:rPr>
          <w:color w:val="auto"/>
          <w:szCs w:val="28"/>
          <w:highlight w:val="none"/>
        </w:rPr>
      </w:pPr>
      <w:r>
        <w:rPr>
          <w:rFonts w:hint="eastAsia"/>
          <w:color w:val="auto"/>
          <w:szCs w:val="28"/>
          <w:highlight w:val="none"/>
        </w:rPr>
        <w:t>【提供原件备查】</w:t>
      </w:r>
    </w:p>
    <w:p>
      <w:pPr>
        <w:spacing w:line="520" w:lineRule="exact"/>
        <w:ind w:firstLine="316" w:firstLineChars="150"/>
        <w:rPr>
          <w:b/>
          <w:color w:val="auto"/>
          <w:szCs w:val="28"/>
          <w:highlight w:val="none"/>
        </w:rPr>
      </w:pPr>
    </w:p>
    <w:p>
      <w:pPr>
        <w:pStyle w:val="76"/>
        <w:numPr>
          <w:ilvl w:val="0"/>
          <w:numId w:val="23"/>
        </w:numPr>
        <w:spacing w:after="0" w:line="600" w:lineRule="exact"/>
        <w:ind w:leftChars="0" w:firstLineChars="0"/>
        <w:jc w:val="center"/>
        <w:rPr>
          <w:rFonts w:ascii="宋体" w:hAnsi="宋体"/>
          <w:b/>
          <w:color w:val="auto"/>
          <w:szCs w:val="28"/>
          <w:highlight w:val="none"/>
        </w:rPr>
      </w:pPr>
      <w:r>
        <w:rPr>
          <w:rFonts w:hint="eastAsia" w:ascii="宋体" w:hAnsi="宋体"/>
          <w:b/>
          <w:color w:val="auto"/>
          <w:szCs w:val="28"/>
          <w:highlight w:val="none"/>
        </w:rPr>
        <w:t>制造商出具的授权书【复印件】（代理商提供）；</w:t>
      </w:r>
    </w:p>
    <w:p>
      <w:pPr>
        <w:spacing w:line="360" w:lineRule="auto"/>
        <w:jc w:val="center"/>
        <w:rPr>
          <w:b/>
          <w:color w:val="auto"/>
          <w:sz w:val="32"/>
          <w:highlight w:val="none"/>
        </w:rPr>
      </w:pPr>
      <w:r>
        <w:rPr>
          <w:rFonts w:hint="eastAsia"/>
          <w:b/>
          <w:color w:val="auto"/>
          <w:sz w:val="32"/>
          <w:highlight w:val="none"/>
        </w:rPr>
        <w:t>制造商出具的授权函</w:t>
      </w:r>
    </w:p>
    <w:p>
      <w:pPr>
        <w:spacing w:line="360" w:lineRule="auto"/>
        <w:rPr>
          <w:color w:val="auto"/>
          <w:sz w:val="22"/>
          <w:szCs w:val="22"/>
          <w:highlight w:val="none"/>
          <w:u w:val="single"/>
        </w:rPr>
      </w:pPr>
      <w:r>
        <w:rPr>
          <w:rFonts w:hint="eastAsia"/>
          <w:color w:val="auto"/>
          <w:sz w:val="22"/>
          <w:szCs w:val="22"/>
          <w:highlight w:val="none"/>
          <w:u w:val="single"/>
        </w:rPr>
        <w:t xml:space="preserve">               ：</w:t>
      </w:r>
    </w:p>
    <w:p>
      <w:pPr>
        <w:spacing w:line="360" w:lineRule="auto"/>
        <w:ind w:firstLine="480"/>
        <w:rPr>
          <w:color w:val="auto"/>
          <w:highlight w:val="none"/>
        </w:rPr>
      </w:pPr>
      <w:r>
        <w:rPr>
          <w:rFonts w:hint="eastAsia"/>
          <w:color w:val="auto"/>
          <w:highlight w:val="none"/>
        </w:rPr>
        <w:t>(</w:t>
      </w:r>
      <w:r>
        <w:rPr>
          <w:rFonts w:hint="eastAsia"/>
          <w:color w:val="auto"/>
          <w:highlight w:val="none"/>
          <w:u w:val="single"/>
        </w:rPr>
        <w:t>制造商名称</w:t>
      </w:r>
      <w:r>
        <w:rPr>
          <w:rFonts w:hint="eastAsia"/>
          <w:color w:val="auto"/>
          <w:highlight w:val="none"/>
        </w:rPr>
        <w:t>)主要营业地点设在（</w:t>
      </w:r>
      <w:r>
        <w:rPr>
          <w:rFonts w:hint="eastAsia"/>
          <w:color w:val="auto"/>
          <w:highlight w:val="none"/>
          <w:u w:val="single"/>
        </w:rPr>
        <w:t>制造商地址</w:t>
      </w:r>
      <w:r>
        <w:rPr>
          <w:rFonts w:hint="eastAsia"/>
          <w:color w:val="auto"/>
          <w:highlight w:val="none"/>
        </w:rPr>
        <w:t>）。兹指派按中华人民共和国法律成立的，主要营业地点设在（</w:t>
      </w:r>
      <w:r>
        <w:rPr>
          <w:rFonts w:hint="eastAsia"/>
          <w:color w:val="auto"/>
          <w:highlight w:val="none"/>
          <w:u w:val="single"/>
        </w:rPr>
        <w:t>销售商地址</w:t>
      </w:r>
      <w:r>
        <w:rPr>
          <w:rFonts w:hint="eastAsia"/>
          <w:color w:val="auto"/>
          <w:highlight w:val="none"/>
        </w:rPr>
        <w:t>）的（</w:t>
      </w:r>
      <w:r>
        <w:rPr>
          <w:rFonts w:hint="eastAsia"/>
          <w:color w:val="auto"/>
          <w:highlight w:val="none"/>
          <w:u w:val="single"/>
        </w:rPr>
        <w:t>销售商名称</w:t>
      </w:r>
      <w:r>
        <w:rPr>
          <w:rFonts w:hint="eastAsia"/>
          <w:color w:val="auto"/>
          <w:highlight w:val="none"/>
        </w:rPr>
        <w:t>）作为我方真正的和合法代理人进行下列有效的活动：</w:t>
      </w:r>
    </w:p>
    <w:p>
      <w:pPr>
        <w:spacing w:line="360" w:lineRule="auto"/>
        <w:ind w:left="666" w:leftChars="17" w:hanging="630" w:hangingChars="300"/>
        <w:rPr>
          <w:color w:val="auto"/>
          <w:highlight w:val="none"/>
        </w:rPr>
      </w:pPr>
      <w:r>
        <w:rPr>
          <w:rFonts w:hint="eastAsia"/>
          <w:color w:val="auto"/>
          <w:highlight w:val="none"/>
        </w:rPr>
        <w:t>（1） 代表我方办理贵方</w:t>
      </w:r>
      <w:r>
        <w:rPr>
          <w:rFonts w:hint="eastAsia"/>
          <w:color w:val="auto"/>
          <w:highlight w:val="none"/>
          <w:u w:val="single"/>
        </w:rPr>
        <w:t xml:space="preserve">                   </w:t>
      </w:r>
      <w:r>
        <w:rPr>
          <w:rFonts w:hint="eastAsia"/>
          <w:color w:val="auto"/>
          <w:highlight w:val="none"/>
        </w:rPr>
        <w:t>项目(编号</w:t>
      </w:r>
      <w:r>
        <w:rPr>
          <w:rFonts w:hint="eastAsia"/>
          <w:color w:val="auto"/>
          <w:highlight w:val="none"/>
          <w:u w:val="single"/>
        </w:rPr>
        <w:t xml:space="preserve">           </w:t>
      </w:r>
      <w:r>
        <w:rPr>
          <w:rFonts w:hint="eastAsia"/>
          <w:color w:val="auto"/>
          <w:highlight w:val="none"/>
        </w:rPr>
        <w:t>)</w:t>
      </w:r>
      <w:r>
        <w:rPr>
          <w:rFonts w:hint="eastAsia"/>
          <w:color w:val="auto"/>
          <w:highlight w:val="none"/>
          <w:u w:val="single"/>
        </w:rPr>
        <w:t xml:space="preserve">标段：  </w:t>
      </w:r>
      <w:r>
        <w:rPr>
          <w:rFonts w:hint="eastAsia"/>
          <w:color w:val="auto"/>
          <w:highlight w:val="none"/>
        </w:rPr>
        <w:t>招标文件要求提供的由我方制造的货物的有关事宜，并对我方具有约束力。</w:t>
      </w:r>
    </w:p>
    <w:p>
      <w:pPr>
        <w:spacing w:line="360" w:lineRule="auto"/>
        <w:ind w:left="630" w:hanging="630" w:hangingChars="300"/>
        <w:rPr>
          <w:color w:val="auto"/>
          <w:highlight w:val="none"/>
        </w:rPr>
      </w:pPr>
      <w:r>
        <w:rPr>
          <w:rFonts w:hint="eastAsia"/>
          <w:color w:val="auto"/>
          <w:highlight w:val="none"/>
        </w:rPr>
        <w:t>（2） 作为制造商，我方保证以投标合作者来约束自己，并对该投标共同和分别承担招标文件中所规定的义务。</w:t>
      </w:r>
    </w:p>
    <w:p>
      <w:pPr>
        <w:spacing w:line="360" w:lineRule="auto"/>
        <w:ind w:left="630" w:hanging="630" w:hangingChars="300"/>
        <w:rPr>
          <w:color w:val="auto"/>
          <w:highlight w:val="none"/>
        </w:rPr>
      </w:pPr>
      <w:r>
        <w:rPr>
          <w:rFonts w:hint="eastAsia"/>
          <w:color w:val="auto"/>
          <w:highlight w:val="none"/>
        </w:rPr>
        <w:t>（3） 我方兹授予（</w:t>
      </w:r>
      <w:r>
        <w:rPr>
          <w:rFonts w:hint="eastAsia"/>
          <w:color w:val="auto"/>
          <w:highlight w:val="none"/>
          <w:u w:val="single"/>
        </w:rPr>
        <w:t>销售商名称</w:t>
      </w:r>
      <w:r>
        <w:rPr>
          <w:rFonts w:hint="eastAsia"/>
          <w:color w:val="auto"/>
          <w:highlight w:val="none"/>
        </w:rPr>
        <w:t>）为本项目代理商，全权办理和履行上述我方为完成上述各点所必须的事宜。兹确认（</w:t>
      </w:r>
      <w:r>
        <w:rPr>
          <w:rFonts w:hint="eastAsia"/>
          <w:color w:val="auto"/>
          <w:highlight w:val="none"/>
          <w:u w:val="single"/>
        </w:rPr>
        <w:t>销售商名称</w:t>
      </w:r>
      <w:r>
        <w:rPr>
          <w:rFonts w:hint="eastAsia"/>
          <w:color w:val="auto"/>
          <w:highlight w:val="none"/>
        </w:rPr>
        <w:t>）或其正式授权代表依此合法地办理一切事宜。</w:t>
      </w:r>
    </w:p>
    <w:p>
      <w:pPr>
        <w:spacing w:line="360" w:lineRule="auto"/>
        <w:ind w:firstLine="630" w:firstLineChars="300"/>
        <w:rPr>
          <w:color w:val="auto"/>
          <w:highlight w:val="none"/>
        </w:rPr>
      </w:pPr>
      <w:r>
        <w:rPr>
          <w:rFonts w:hint="eastAsia"/>
          <w:color w:val="auto"/>
          <w:highlight w:val="none"/>
        </w:rPr>
        <w:t>我方于</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日签署本文件，（</w:t>
      </w:r>
      <w:r>
        <w:rPr>
          <w:rFonts w:hint="eastAsia"/>
          <w:color w:val="auto"/>
          <w:highlight w:val="none"/>
          <w:u w:val="single"/>
        </w:rPr>
        <w:t>销售商名称</w:t>
      </w:r>
      <w:r>
        <w:rPr>
          <w:rFonts w:hint="eastAsia"/>
          <w:color w:val="auto"/>
          <w:highlight w:val="none"/>
        </w:rPr>
        <w:t>）于</w:t>
      </w:r>
      <w:r>
        <w:rPr>
          <w:rFonts w:hint="eastAsia"/>
          <w:color w:val="auto"/>
          <w:highlight w:val="none"/>
          <w:u w:val="single"/>
        </w:rPr>
        <w:t xml:space="preserve">       </w:t>
      </w:r>
      <w:r>
        <w:rPr>
          <w:rFonts w:hint="eastAsia"/>
          <w:color w:val="auto"/>
          <w:highlight w:val="none"/>
        </w:rPr>
        <w:t>年</w:t>
      </w:r>
    </w:p>
    <w:p>
      <w:pPr>
        <w:spacing w:line="360" w:lineRule="auto"/>
        <w:ind w:firstLine="480"/>
        <w:rPr>
          <w:color w:val="auto"/>
          <w:highlight w:val="none"/>
        </w:rPr>
      </w:pP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日接受此件，以此为证。</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r>
        <w:rPr>
          <w:rFonts w:hint="eastAsia"/>
          <w:color w:val="auto"/>
          <w:highlight w:val="none"/>
        </w:rPr>
        <w:t xml:space="preserve">销售商名称 </w:t>
      </w:r>
      <w:r>
        <w:rPr>
          <w:rFonts w:hint="eastAsia"/>
          <w:color w:val="auto"/>
          <w:highlight w:val="none"/>
          <w:u w:val="single"/>
        </w:rPr>
        <w:t xml:space="preserve">                            </w:t>
      </w:r>
      <w:r>
        <w:rPr>
          <w:rFonts w:hint="eastAsia"/>
          <w:color w:val="auto"/>
          <w:highlight w:val="none"/>
        </w:rPr>
        <w:t>制造商名称</w:t>
      </w:r>
      <w:r>
        <w:rPr>
          <w:rFonts w:hint="eastAsia"/>
          <w:color w:val="auto"/>
          <w:highlight w:val="none"/>
          <w:u w:val="single"/>
        </w:rPr>
        <w:t xml:space="preserve">                       </w:t>
      </w:r>
    </w:p>
    <w:p>
      <w:pPr>
        <w:spacing w:line="360" w:lineRule="auto"/>
        <w:rPr>
          <w:color w:val="auto"/>
          <w:highlight w:val="none"/>
        </w:rPr>
      </w:pPr>
      <w:r>
        <w:rPr>
          <w:rFonts w:hint="eastAsia"/>
          <w:color w:val="auto"/>
          <w:highlight w:val="none"/>
        </w:rPr>
        <w:t>法定代表人姓名和职务</w:t>
      </w:r>
      <w:r>
        <w:rPr>
          <w:rFonts w:hint="eastAsia"/>
          <w:color w:val="auto"/>
          <w:highlight w:val="none"/>
          <w:u w:val="single"/>
        </w:rPr>
        <w:t xml:space="preserve">                   </w:t>
      </w:r>
      <w:r>
        <w:rPr>
          <w:rFonts w:hint="eastAsia"/>
          <w:color w:val="auto"/>
          <w:highlight w:val="none"/>
        </w:rPr>
        <w:t>法定代表人姓名和职务</w:t>
      </w:r>
      <w:r>
        <w:rPr>
          <w:rFonts w:hint="eastAsia"/>
          <w:color w:val="auto"/>
          <w:highlight w:val="none"/>
          <w:u w:val="single"/>
        </w:rPr>
        <w:t xml:space="preserve">                 </w:t>
      </w:r>
    </w:p>
    <w:p>
      <w:pPr>
        <w:spacing w:line="360" w:lineRule="auto"/>
        <w:rPr>
          <w:color w:val="auto"/>
          <w:highlight w:val="none"/>
          <w:u w:val="single"/>
        </w:rPr>
      </w:pPr>
      <w:r>
        <w:rPr>
          <w:rFonts w:hint="eastAsia"/>
          <w:color w:val="auto"/>
          <w:highlight w:val="none"/>
        </w:rPr>
        <w:t>授权代表人签名</w:t>
      </w:r>
      <w:r>
        <w:rPr>
          <w:rFonts w:hint="eastAsia"/>
          <w:color w:val="auto"/>
          <w:highlight w:val="none"/>
          <w:u w:val="single"/>
        </w:rPr>
        <w:t xml:space="preserve">                         </w:t>
      </w:r>
      <w:r>
        <w:rPr>
          <w:rFonts w:hint="eastAsia"/>
          <w:color w:val="auto"/>
          <w:highlight w:val="none"/>
        </w:rPr>
        <w:t>授权代表人签名</w:t>
      </w:r>
      <w:r>
        <w:rPr>
          <w:rFonts w:hint="eastAsia"/>
          <w:color w:val="auto"/>
          <w:highlight w:val="none"/>
          <w:u w:val="single"/>
        </w:rPr>
        <w:t xml:space="preserve">                       </w:t>
      </w:r>
    </w:p>
    <w:p>
      <w:pPr>
        <w:spacing w:line="360" w:lineRule="auto"/>
        <w:rPr>
          <w:color w:val="auto"/>
          <w:sz w:val="22"/>
          <w:szCs w:val="22"/>
          <w:highlight w:val="none"/>
          <w:u w:val="single"/>
        </w:rPr>
      </w:pPr>
    </w:p>
    <w:p>
      <w:pPr>
        <w:spacing w:line="360" w:lineRule="auto"/>
        <w:rPr>
          <w:color w:val="auto"/>
          <w:highlight w:val="none"/>
        </w:rPr>
      </w:pPr>
      <w:r>
        <w:rPr>
          <w:rFonts w:hint="eastAsia"/>
          <w:color w:val="auto"/>
          <w:highlight w:val="none"/>
        </w:rPr>
        <w:t>此格式仅供参考</w:t>
      </w:r>
    </w:p>
    <w:p>
      <w:pPr>
        <w:spacing w:line="360" w:lineRule="auto"/>
        <w:rPr>
          <w:color w:val="auto"/>
          <w:highlight w:val="none"/>
        </w:rPr>
      </w:pPr>
    </w:p>
    <w:p>
      <w:pPr>
        <w:tabs>
          <w:tab w:val="left" w:pos="750"/>
        </w:tabs>
        <w:ind w:right="480"/>
        <w:jc w:val="left"/>
        <w:rPr>
          <w:color w:val="auto"/>
          <w:highlight w:val="none"/>
        </w:rPr>
      </w:pPr>
    </w:p>
    <w:p>
      <w:pPr>
        <w:tabs>
          <w:tab w:val="left" w:pos="750"/>
        </w:tabs>
        <w:ind w:right="480"/>
        <w:jc w:val="left"/>
        <w:rPr>
          <w:color w:val="auto"/>
          <w:highlight w:val="none"/>
        </w:rPr>
      </w:pPr>
    </w:p>
    <w:p>
      <w:pPr>
        <w:rPr>
          <w:color w:val="auto"/>
          <w:highlight w:val="none"/>
        </w:rPr>
      </w:pPr>
      <w:r>
        <w:rPr>
          <w:rFonts w:hint="eastAsia" w:ascii="宋体"/>
          <w:color w:val="auto"/>
          <w:kern w:val="0"/>
          <w:sz w:val="24"/>
          <w:highlight w:val="none"/>
        </w:rPr>
        <w:t>技表一</w:t>
      </w:r>
    </w:p>
    <w:p>
      <w:pPr>
        <w:jc w:val="center"/>
        <w:rPr>
          <w:rFonts w:ascii="黑体" w:eastAsia="黑体"/>
          <w:color w:val="auto"/>
          <w:kern w:val="0"/>
          <w:sz w:val="30"/>
          <w:highlight w:val="none"/>
        </w:rPr>
      </w:pPr>
      <w:r>
        <w:rPr>
          <w:rFonts w:hint="eastAsia" w:ascii="黑体" w:eastAsia="黑体"/>
          <w:color w:val="auto"/>
          <w:kern w:val="0"/>
          <w:sz w:val="30"/>
          <w:highlight w:val="none"/>
        </w:rPr>
        <w:t>派驻现场的主要施工管理人员表</w:t>
      </w:r>
    </w:p>
    <w:p>
      <w:pPr>
        <w:rPr>
          <w:color w:val="auto"/>
          <w:highlight w:val="none"/>
        </w:rPr>
      </w:pPr>
    </w:p>
    <w:tbl>
      <w:tblPr>
        <w:tblStyle w:val="4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1440"/>
        <w:gridCol w:w="1440"/>
        <w:gridCol w:w="40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4" w:type="dxa"/>
            <w:vAlign w:val="center"/>
          </w:tcPr>
          <w:p>
            <w:pPr>
              <w:autoSpaceDE w:val="0"/>
              <w:autoSpaceDN w:val="0"/>
              <w:adjustRightInd w:val="0"/>
              <w:jc w:val="center"/>
              <w:rPr>
                <w:rFonts w:ascii="宋体"/>
                <w:color w:val="auto"/>
                <w:kern w:val="0"/>
                <w:sz w:val="24"/>
                <w:highlight w:val="none"/>
              </w:rPr>
            </w:pPr>
            <w:r>
              <w:rPr>
                <w:rFonts w:hint="eastAsia" w:ascii="宋体"/>
                <w:color w:val="auto"/>
                <w:kern w:val="0"/>
                <w:sz w:val="24"/>
                <w:highlight w:val="none"/>
              </w:rPr>
              <w:t>名  称</w:t>
            </w:r>
          </w:p>
        </w:tc>
        <w:tc>
          <w:tcPr>
            <w:tcW w:w="1440" w:type="dxa"/>
            <w:vAlign w:val="center"/>
          </w:tcPr>
          <w:p>
            <w:pPr>
              <w:autoSpaceDE w:val="0"/>
              <w:autoSpaceDN w:val="0"/>
              <w:adjustRightInd w:val="0"/>
              <w:jc w:val="center"/>
              <w:rPr>
                <w:rFonts w:ascii="宋体"/>
                <w:color w:val="auto"/>
                <w:kern w:val="0"/>
                <w:sz w:val="24"/>
                <w:highlight w:val="none"/>
              </w:rPr>
            </w:pPr>
            <w:r>
              <w:rPr>
                <w:rFonts w:hint="eastAsia" w:ascii="宋体"/>
                <w:color w:val="auto"/>
                <w:kern w:val="0"/>
                <w:sz w:val="24"/>
                <w:highlight w:val="none"/>
              </w:rPr>
              <w:t>姓名</w:t>
            </w:r>
          </w:p>
        </w:tc>
        <w:tc>
          <w:tcPr>
            <w:tcW w:w="1440" w:type="dxa"/>
            <w:vAlign w:val="center"/>
          </w:tcPr>
          <w:p>
            <w:pPr>
              <w:autoSpaceDE w:val="0"/>
              <w:autoSpaceDN w:val="0"/>
              <w:adjustRightInd w:val="0"/>
              <w:jc w:val="center"/>
              <w:rPr>
                <w:rFonts w:ascii="宋体"/>
                <w:color w:val="auto"/>
                <w:kern w:val="0"/>
                <w:sz w:val="24"/>
                <w:highlight w:val="none"/>
              </w:rPr>
            </w:pPr>
            <w:r>
              <w:rPr>
                <w:rFonts w:hint="eastAsia" w:ascii="宋体"/>
                <w:color w:val="auto"/>
                <w:kern w:val="0"/>
                <w:sz w:val="24"/>
                <w:highlight w:val="none"/>
              </w:rPr>
              <w:t>职称</w:t>
            </w:r>
          </w:p>
        </w:tc>
        <w:tc>
          <w:tcPr>
            <w:tcW w:w="4017" w:type="dxa"/>
            <w:vAlign w:val="center"/>
          </w:tcPr>
          <w:p>
            <w:pPr>
              <w:autoSpaceDE w:val="0"/>
              <w:autoSpaceDN w:val="0"/>
              <w:adjustRightInd w:val="0"/>
              <w:jc w:val="center"/>
              <w:rPr>
                <w:rFonts w:ascii="宋体"/>
                <w:color w:val="auto"/>
                <w:kern w:val="0"/>
                <w:sz w:val="24"/>
                <w:highlight w:val="none"/>
              </w:rPr>
            </w:pPr>
            <w:r>
              <w:rPr>
                <w:rFonts w:hint="eastAsia" w:ascii="宋体"/>
                <w:color w:val="auto"/>
                <w:kern w:val="0"/>
                <w:sz w:val="24"/>
                <w:highlight w:val="none"/>
              </w:rPr>
              <w:t>主要职责范围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4" w:type="dxa"/>
            <w:vAlign w:val="center"/>
          </w:tcPr>
          <w:p>
            <w:pPr>
              <w:autoSpaceDE w:val="0"/>
              <w:autoSpaceDN w:val="0"/>
              <w:adjustRightInd w:val="0"/>
              <w:rPr>
                <w:rFonts w:ascii="宋体" w:hAnsi="宋体"/>
                <w:color w:val="auto"/>
                <w:kern w:val="0"/>
                <w:sz w:val="24"/>
                <w:highlight w:val="none"/>
              </w:rPr>
            </w:pPr>
          </w:p>
        </w:tc>
        <w:tc>
          <w:tcPr>
            <w:tcW w:w="1440" w:type="dxa"/>
            <w:vAlign w:val="center"/>
          </w:tcPr>
          <w:p>
            <w:pPr>
              <w:rPr>
                <w:color w:val="auto"/>
                <w:highlight w:val="none"/>
              </w:rPr>
            </w:pPr>
          </w:p>
        </w:tc>
        <w:tc>
          <w:tcPr>
            <w:tcW w:w="1440" w:type="dxa"/>
            <w:vAlign w:val="center"/>
          </w:tcPr>
          <w:p>
            <w:pPr>
              <w:rPr>
                <w:color w:val="auto"/>
                <w:highlight w:val="none"/>
              </w:rPr>
            </w:pPr>
          </w:p>
        </w:tc>
        <w:tc>
          <w:tcPr>
            <w:tcW w:w="4017" w:type="dxa"/>
            <w:vAlign w:val="center"/>
          </w:tcPr>
          <w:p>
            <w:pP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4" w:type="dxa"/>
            <w:vAlign w:val="center"/>
          </w:tcPr>
          <w:p>
            <w:pPr>
              <w:autoSpaceDE w:val="0"/>
              <w:autoSpaceDN w:val="0"/>
              <w:adjustRightInd w:val="0"/>
              <w:rPr>
                <w:rFonts w:ascii="宋体" w:hAnsi="宋体"/>
                <w:color w:val="auto"/>
                <w:kern w:val="0"/>
                <w:sz w:val="24"/>
                <w:highlight w:val="none"/>
              </w:rPr>
            </w:pPr>
          </w:p>
        </w:tc>
        <w:tc>
          <w:tcPr>
            <w:tcW w:w="1440" w:type="dxa"/>
            <w:vAlign w:val="center"/>
          </w:tcPr>
          <w:p>
            <w:pPr>
              <w:rPr>
                <w:color w:val="auto"/>
                <w:highlight w:val="none"/>
              </w:rPr>
            </w:pPr>
          </w:p>
        </w:tc>
        <w:tc>
          <w:tcPr>
            <w:tcW w:w="1440" w:type="dxa"/>
            <w:vAlign w:val="center"/>
          </w:tcPr>
          <w:p>
            <w:pPr>
              <w:rPr>
                <w:color w:val="auto"/>
                <w:highlight w:val="none"/>
              </w:rPr>
            </w:pPr>
          </w:p>
        </w:tc>
        <w:tc>
          <w:tcPr>
            <w:tcW w:w="4017" w:type="dxa"/>
            <w:vAlign w:val="center"/>
          </w:tcPr>
          <w:p>
            <w:pP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4" w:type="dxa"/>
            <w:vAlign w:val="center"/>
          </w:tcPr>
          <w:p>
            <w:pPr>
              <w:autoSpaceDE w:val="0"/>
              <w:autoSpaceDN w:val="0"/>
              <w:adjustRightInd w:val="0"/>
              <w:rPr>
                <w:rFonts w:ascii="宋体" w:hAnsi="宋体"/>
                <w:color w:val="auto"/>
                <w:kern w:val="0"/>
                <w:sz w:val="24"/>
                <w:highlight w:val="none"/>
              </w:rPr>
            </w:pPr>
          </w:p>
        </w:tc>
        <w:tc>
          <w:tcPr>
            <w:tcW w:w="1440" w:type="dxa"/>
            <w:vAlign w:val="center"/>
          </w:tcPr>
          <w:p>
            <w:pPr>
              <w:rPr>
                <w:color w:val="auto"/>
                <w:highlight w:val="none"/>
              </w:rPr>
            </w:pPr>
          </w:p>
        </w:tc>
        <w:tc>
          <w:tcPr>
            <w:tcW w:w="1440" w:type="dxa"/>
            <w:vAlign w:val="center"/>
          </w:tcPr>
          <w:p>
            <w:pPr>
              <w:rPr>
                <w:color w:val="auto"/>
                <w:highlight w:val="none"/>
              </w:rPr>
            </w:pPr>
          </w:p>
        </w:tc>
        <w:tc>
          <w:tcPr>
            <w:tcW w:w="4017" w:type="dxa"/>
            <w:vAlign w:val="center"/>
          </w:tcPr>
          <w:p>
            <w:pP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4" w:type="dxa"/>
            <w:vAlign w:val="center"/>
          </w:tcPr>
          <w:p>
            <w:pPr>
              <w:autoSpaceDE w:val="0"/>
              <w:autoSpaceDN w:val="0"/>
              <w:adjustRightInd w:val="0"/>
              <w:rPr>
                <w:rFonts w:ascii="宋体" w:hAnsi="宋体"/>
                <w:color w:val="auto"/>
                <w:kern w:val="0"/>
                <w:sz w:val="24"/>
                <w:highlight w:val="none"/>
              </w:rPr>
            </w:pPr>
          </w:p>
        </w:tc>
        <w:tc>
          <w:tcPr>
            <w:tcW w:w="1440" w:type="dxa"/>
            <w:vAlign w:val="center"/>
          </w:tcPr>
          <w:p>
            <w:pPr>
              <w:rPr>
                <w:color w:val="auto"/>
                <w:highlight w:val="none"/>
              </w:rPr>
            </w:pPr>
          </w:p>
        </w:tc>
        <w:tc>
          <w:tcPr>
            <w:tcW w:w="1440" w:type="dxa"/>
            <w:vAlign w:val="center"/>
          </w:tcPr>
          <w:p>
            <w:pPr>
              <w:rPr>
                <w:color w:val="auto"/>
                <w:highlight w:val="none"/>
              </w:rPr>
            </w:pPr>
          </w:p>
        </w:tc>
        <w:tc>
          <w:tcPr>
            <w:tcW w:w="4017" w:type="dxa"/>
            <w:vAlign w:val="center"/>
          </w:tcPr>
          <w:p>
            <w:pP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4" w:type="dxa"/>
            <w:vAlign w:val="center"/>
          </w:tcPr>
          <w:p>
            <w:pPr>
              <w:autoSpaceDE w:val="0"/>
              <w:autoSpaceDN w:val="0"/>
              <w:adjustRightInd w:val="0"/>
              <w:rPr>
                <w:rFonts w:ascii="宋体" w:hAnsi="宋体"/>
                <w:color w:val="auto"/>
                <w:kern w:val="0"/>
                <w:sz w:val="24"/>
                <w:highlight w:val="none"/>
              </w:rPr>
            </w:pPr>
          </w:p>
        </w:tc>
        <w:tc>
          <w:tcPr>
            <w:tcW w:w="1440" w:type="dxa"/>
            <w:vAlign w:val="center"/>
          </w:tcPr>
          <w:p>
            <w:pPr>
              <w:rPr>
                <w:color w:val="auto"/>
                <w:highlight w:val="none"/>
              </w:rPr>
            </w:pPr>
          </w:p>
        </w:tc>
        <w:tc>
          <w:tcPr>
            <w:tcW w:w="1440" w:type="dxa"/>
            <w:vAlign w:val="center"/>
          </w:tcPr>
          <w:p>
            <w:pPr>
              <w:rPr>
                <w:color w:val="auto"/>
                <w:highlight w:val="none"/>
              </w:rPr>
            </w:pPr>
          </w:p>
        </w:tc>
        <w:tc>
          <w:tcPr>
            <w:tcW w:w="4017" w:type="dxa"/>
            <w:vAlign w:val="center"/>
          </w:tcPr>
          <w:p>
            <w:pP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4" w:type="dxa"/>
            <w:vAlign w:val="center"/>
          </w:tcPr>
          <w:p>
            <w:pPr>
              <w:autoSpaceDE w:val="0"/>
              <w:autoSpaceDN w:val="0"/>
              <w:adjustRightInd w:val="0"/>
              <w:rPr>
                <w:rFonts w:ascii="宋体" w:hAnsi="宋体"/>
                <w:color w:val="auto"/>
                <w:kern w:val="0"/>
                <w:sz w:val="24"/>
                <w:highlight w:val="none"/>
              </w:rPr>
            </w:pPr>
          </w:p>
        </w:tc>
        <w:tc>
          <w:tcPr>
            <w:tcW w:w="1440" w:type="dxa"/>
            <w:vAlign w:val="center"/>
          </w:tcPr>
          <w:p>
            <w:pPr>
              <w:rPr>
                <w:color w:val="auto"/>
                <w:highlight w:val="none"/>
              </w:rPr>
            </w:pPr>
          </w:p>
        </w:tc>
        <w:tc>
          <w:tcPr>
            <w:tcW w:w="1440" w:type="dxa"/>
            <w:vAlign w:val="center"/>
          </w:tcPr>
          <w:p>
            <w:pPr>
              <w:rPr>
                <w:color w:val="auto"/>
                <w:highlight w:val="none"/>
              </w:rPr>
            </w:pPr>
          </w:p>
        </w:tc>
        <w:tc>
          <w:tcPr>
            <w:tcW w:w="4017" w:type="dxa"/>
            <w:vAlign w:val="center"/>
          </w:tcPr>
          <w:p>
            <w:pP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4" w:type="dxa"/>
            <w:vAlign w:val="center"/>
          </w:tcPr>
          <w:p>
            <w:pPr>
              <w:autoSpaceDE w:val="0"/>
              <w:autoSpaceDN w:val="0"/>
              <w:adjustRightInd w:val="0"/>
              <w:rPr>
                <w:rFonts w:ascii="宋体" w:hAnsi="宋体"/>
                <w:color w:val="auto"/>
                <w:kern w:val="0"/>
                <w:sz w:val="24"/>
                <w:highlight w:val="none"/>
              </w:rPr>
            </w:pPr>
          </w:p>
        </w:tc>
        <w:tc>
          <w:tcPr>
            <w:tcW w:w="1440" w:type="dxa"/>
            <w:vAlign w:val="center"/>
          </w:tcPr>
          <w:p>
            <w:pPr>
              <w:rPr>
                <w:color w:val="auto"/>
                <w:highlight w:val="none"/>
              </w:rPr>
            </w:pPr>
          </w:p>
        </w:tc>
        <w:tc>
          <w:tcPr>
            <w:tcW w:w="1440" w:type="dxa"/>
            <w:vAlign w:val="center"/>
          </w:tcPr>
          <w:p>
            <w:pPr>
              <w:rPr>
                <w:color w:val="auto"/>
                <w:highlight w:val="none"/>
              </w:rPr>
            </w:pPr>
          </w:p>
        </w:tc>
        <w:tc>
          <w:tcPr>
            <w:tcW w:w="4017" w:type="dxa"/>
            <w:vAlign w:val="center"/>
          </w:tcPr>
          <w:p>
            <w:pP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4" w:type="dxa"/>
            <w:vAlign w:val="center"/>
          </w:tcPr>
          <w:p>
            <w:pPr>
              <w:autoSpaceDE w:val="0"/>
              <w:autoSpaceDN w:val="0"/>
              <w:adjustRightInd w:val="0"/>
              <w:rPr>
                <w:rFonts w:ascii="宋体" w:hAnsi="宋体"/>
                <w:color w:val="auto"/>
                <w:kern w:val="0"/>
                <w:sz w:val="24"/>
                <w:highlight w:val="none"/>
              </w:rPr>
            </w:pPr>
          </w:p>
        </w:tc>
        <w:tc>
          <w:tcPr>
            <w:tcW w:w="1440" w:type="dxa"/>
            <w:vAlign w:val="center"/>
          </w:tcPr>
          <w:p>
            <w:pPr>
              <w:rPr>
                <w:color w:val="auto"/>
                <w:highlight w:val="none"/>
              </w:rPr>
            </w:pPr>
          </w:p>
        </w:tc>
        <w:tc>
          <w:tcPr>
            <w:tcW w:w="1440" w:type="dxa"/>
            <w:vAlign w:val="center"/>
          </w:tcPr>
          <w:p>
            <w:pPr>
              <w:rPr>
                <w:color w:val="auto"/>
                <w:highlight w:val="none"/>
              </w:rPr>
            </w:pPr>
          </w:p>
        </w:tc>
        <w:tc>
          <w:tcPr>
            <w:tcW w:w="4017" w:type="dxa"/>
            <w:vAlign w:val="center"/>
          </w:tcPr>
          <w:p>
            <w:pP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4" w:type="dxa"/>
            <w:vAlign w:val="center"/>
          </w:tcPr>
          <w:p>
            <w:pPr>
              <w:autoSpaceDE w:val="0"/>
              <w:autoSpaceDN w:val="0"/>
              <w:adjustRightInd w:val="0"/>
              <w:rPr>
                <w:rFonts w:ascii="宋体" w:hAnsi="宋体"/>
                <w:color w:val="auto"/>
                <w:kern w:val="0"/>
                <w:sz w:val="24"/>
                <w:highlight w:val="none"/>
              </w:rPr>
            </w:pPr>
          </w:p>
        </w:tc>
        <w:tc>
          <w:tcPr>
            <w:tcW w:w="1440" w:type="dxa"/>
            <w:vAlign w:val="center"/>
          </w:tcPr>
          <w:p>
            <w:pPr>
              <w:rPr>
                <w:color w:val="auto"/>
                <w:highlight w:val="none"/>
              </w:rPr>
            </w:pPr>
          </w:p>
        </w:tc>
        <w:tc>
          <w:tcPr>
            <w:tcW w:w="1440" w:type="dxa"/>
            <w:vAlign w:val="center"/>
          </w:tcPr>
          <w:p>
            <w:pPr>
              <w:rPr>
                <w:color w:val="auto"/>
                <w:highlight w:val="none"/>
              </w:rPr>
            </w:pPr>
          </w:p>
        </w:tc>
        <w:tc>
          <w:tcPr>
            <w:tcW w:w="4017" w:type="dxa"/>
            <w:vAlign w:val="center"/>
          </w:tcPr>
          <w:p>
            <w:pP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4" w:type="dxa"/>
          </w:tcPr>
          <w:p>
            <w:pPr>
              <w:rPr>
                <w:color w:val="auto"/>
                <w:highlight w:val="none"/>
              </w:rPr>
            </w:pPr>
          </w:p>
        </w:tc>
        <w:tc>
          <w:tcPr>
            <w:tcW w:w="1440" w:type="dxa"/>
          </w:tcPr>
          <w:p>
            <w:pPr>
              <w:rPr>
                <w:color w:val="auto"/>
                <w:highlight w:val="none"/>
              </w:rPr>
            </w:pPr>
          </w:p>
        </w:tc>
        <w:tc>
          <w:tcPr>
            <w:tcW w:w="1440" w:type="dxa"/>
          </w:tcPr>
          <w:p>
            <w:pPr>
              <w:rPr>
                <w:color w:val="auto"/>
                <w:highlight w:val="none"/>
              </w:rPr>
            </w:pPr>
          </w:p>
        </w:tc>
        <w:tc>
          <w:tcPr>
            <w:tcW w:w="4017" w:type="dxa"/>
          </w:tcPr>
          <w:p>
            <w:pP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4" w:type="dxa"/>
          </w:tcPr>
          <w:p>
            <w:pPr>
              <w:rPr>
                <w:color w:val="auto"/>
                <w:highlight w:val="none"/>
              </w:rPr>
            </w:pPr>
          </w:p>
        </w:tc>
        <w:tc>
          <w:tcPr>
            <w:tcW w:w="1440" w:type="dxa"/>
          </w:tcPr>
          <w:p>
            <w:pPr>
              <w:rPr>
                <w:color w:val="auto"/>
                <w:highlight w:val="none"/>
              </w:rPr>
            </w:pPr>
          </w:p>
        </w:tc>
        <w:tc>
          <w:tcPr>
            <w:tcW w:w="1440" w:type="dxa"/>
          </w:tcPr>
          <w:p>
            <w:pPr>
              <w:rPr>
                <w:color w:val="auto"/>
                <w:highlight w:val="none"/>
              </w:rPr>
            </w:pPr>
          </w:p>
        </w:tc>
        <w:tc>
          <w:tcPr>
            <w:tcW w:w="4017" w:type="dxa"/>
          </w:tcPr>
          <w:p>
            <w:pP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4" w:type="dxa"/>
          </w:tcPr>
          <w:p>
            <w:pPr>
              <w:rPr>
                <w:color w:val="auto"/>
                <w:highlight w:val="none"/>
              </w:rPr>
            </w:pPr>
          </w:p>
        </w:tc>
        <w:tc>
          <w:tcPr>
            <w:tcW w:w="1440" w:type="dxa"/>
          </w:tcPr>
          <w:p>
            <w:pPr>
              <w:rPr>
                <w:color w:val="auto"/>
                <w:highlight w:val="none"/>
              </w:rPr>
            </w:pPr>
          </w:p>
        </w:tc>
        <w:tc>
          <w:tcPr>
            <w:tcW w:w="1440" w:type="dxa"/>
          </w:tcPr>
          <w:p>
            <w:pPr>
              <w:rPr>
                <w:color w:val="auto"/>
                <w:highlight w:val="none"/>
              </w:rPr>
            </w:pPr>
          </w:p>
        </w:tc>
        <w:tc>
          <w:tcPr>
            <w:tcW w:w="4017" w:type="dxa"/>
          </w:tcPr>
          <w:p>
            <w:pP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4" w:type="dxa"/>
          </w:tcPr>
          <w:p>
            <w:pPr>
              <w:rPr>
                <w:color w:val="auto"/>
                <w:highlight w:val="none"/>
              </w:rPr>
            </w:pPr>
          </w:p>
        </w:tc>
        <w:tc>
          <w:tcPr>
            <w:tcW w:w="1440" w:type="dxa"/>
          </w:tcPr>
          <w:p>
            <w:pPr>
              <w:rPr>
                <w:color w:val="auto"/>
                <w:highlight w:val="none"/>
              </w:rPr>
            </w:pPr>
          </w:p>
        </w:tc>
        <w:tc>
          <w:tcPr>
            <w:tcW w:w="1440" w:type="dxa"/>
          </w:tcPr>
          <w:p>
            <w:pPr>
              <w:rPr>
                <w:color w:val="auto"/>
                <w:highlight w:val="none"/>
              </w:rPr>
            </w:pPr>
          </w:p>
        </w:tc>
        <w:tc>
          <w:tcPr>
            <w:tcW w:w="4017" w:type="dxa"/>
          </w:tcPr>
          <w:p>
            <w:pPr>
              <w:rPr>
                <w:color w:val="auto"/>
                <w:highlight w:val="none"/>
              </w:rPr>
            </w:pPr>
          </w:p>
        </w:tc>
      </w:tr>
    </w:tbl>
    <w:p>
      <w:pPr>
        <w:rPr>
          <w:color w:val="auto"/>
          <w:sz w:val="24"/>
          <w:szCs w:val="20"/>
          <w:highlight w:val="none"/>
        </w:rPr>
      </w:pPr>
    </w:p>
    <w:p>
      <w:pPr>
        <w:rPr>
          <w:color w:val="auto"/>
          <w:sz w:val="24"/>
          <w:szCs w:val="20"/>
          <w:highlight w:val="none"/>
        </w:rPr>
      </w:pPr>
    </w:p>
    <w:p>
      <w:pPr>
        <w:widowControl/>
        <w:snapToGrid w:val="0"/>
        <w:spacing w:beforeLines="50" w:afterLines="50" w:line="360" w:lineRule="auto"/>
        <w:ind w:firstLine="4080"/>
        <w:rPr>
          <w:color w:val="auto"/>
          <w:szCs w:val="21"/>
          <w:highlight w:val="none"/>
        </w:rPr>
      </w:pPr>
      <w:r>
        <w:rPr>
          <w:rFonts w:hint="eastAsia"/>
          <w:color w:val="auto"/>
          <w:szCs w:val="21"/>
          <w:highlight w:val="none"/>
        </w:rPr>
        <w:t xml:space="preserve">       </w:t>
      </w:r>
      <w:r>
        <w:rPr>
          <w:color w:val="auto"/>
          <w:szCs w:val="21"/>
          <w:highlight w:val="none"/>
        </w:rPr>
        <w:t>投标人</w:t>
      </w:r>
      <w:r>
        <w:rPr>
          <w:rFonts w:hint="eastAsia"/>
          <w:color w:val="auto"/>
          <w:szCs w:val="21"/>
          <w:highlight w:val="none"/>
        </w:rPr>
        <w:t>（盖公章）</w:t>
      </w:r>
      <w:r>
        <w:rPr>
          <w:color w:val="auto"/>
          <w:szCs w:val="21"/>
          <w:highlight w:val="none"/>
        </w:rPr>
        <w:t>：</w:t>
      </w:r>
    </w:p>
    <w:p>
      <w:pPr>
        <w:widowControl/>
        <w:tabs>
          <w:tab w:val="left" w:pos="4080"/>
        </w:tabs>
        <w:snapToGrid w:val="0"/>
        <w:spacing w:beforeLines="50" w:afterLines="50" w:line="360" w:lineRule="auto"/>
        <w:rPr>
          <w:rFonts w:eastAsia="黑体"/>
          <w:color w:val="auto"/>
          <w:szCs w:val="21"/>
          <w:highlight w:val="none"/>
        </w:rPr>
      </w:pPr>
      <w:r>
        <w:rPr>
          <w:rFonts w:hint="eastAsia"/>
          <w:color w:val="auto"/>
          <w:szCs w:val="21"/>
          <w:highlight w:val="none"/>
        </w:rPr>
        <w:tab/>
      </w:r>
      <w:r>
        <w:rPr>
          <w:rFonts w:hint="eastAsia"/>
          <w:color w:val="auto"/>
          <w:szCs w:val="21"/>
          <w:highlight w:val="none"/>
        </w:rPr>
        <w:t xml:space="preserve">       </w:t>
      </w:r>
      <w:r>
        <w:rPr>
          <w:color w:val="auto"/>
          <w:szCs w:val="21"/>
          <w:highlight w:val="none"/>
        </w:rPr>
        <w:t>法定代表人或授权代表</w:t>
      </w:r>
      <w:r>
        <w:rPr>
          <w:rFonts w:hint="eastAsia"/>
          <w:color w:val="auto"/>
          <w:szCs w:val="21"/>
          <w:highlight w:val="none"/>
        </w:rPr>
        <w:t>（</w:t>
      </w:r>
      <w:r>
        <w:rPr>
          <w:color w:val="auto"/>
          <w:szCs w:val="21"/>
          <w:highlight w:val="none"/>
        </w:rPr>
        <w:t>签字</w:t>
      </w:r>
      <w:r>
        <w:rPr>
          <w:rFonts w:hint="eastAsia"/>
          <w:color w:val="auto"/>
          <w:szCs w:val="21"/>
          <w:highlight w:val="none"/>
        </w:rPr>
        <w:t>或盖章）：</w:t>
      </w:r>
    </w:p>
    <w:p>
      <w:pPr>
        <w:spacing w:line="440" w:lineRule="exact"/>
        <w:jc w:val="center"/>
        <w:rPr>
          <w:rFonts w:eastAsia="黑体"/>
          <w:color w:val="auto"/>
          <w:szCs w:val="21"/>
          <w:highlight w:val="none"/>
        </w:rPr>
        <w:sectPr>
          <w:footerReference r:id="rId11" w:type="default"/>
          <w:pgSz w:w="11906" w:h="16838"/>
          <w:pgMar w:top="1440" w:right="1418" w:bottom="1440" w:left="1418" w:header="851" w:footer="992" w:gutter="0"/>
          <w:cols w:space="720" w:num="1"/>
          <w:docGrid w:type="lines" w:linePitch="312" w:charSpace="0"/>
        </w:sectPr>
      </w:pPr>
      <w:r>
        <w:rPr>
          <w:rFonts w:hint="eastAsia"/>
          <w:color w:val="auto"/>
          <w:szCs w:val="21"/>
          <w:highlight w:val="none"/>
        </w:rPr>
        <w:t xml:space="preserve">                                           </w:t>
      </w:r>
      <w:r>
        <w:rPr>
          <w:color w:val="auto"/>
          <w:szCs w:val="21"/>
          <w:highlight w:val="none"/>
        </w:rPr>
        <w:t>日期：</w:t>
      </w:r>
      <w:r>
        <w:rPr>
          <w:rFonts w:hint="eastAsia"/>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p>
    <w:p>
      <w:pPr>
        <w:wordWrap w:val="0"/>
        <w:rPr>
          <w:rFonts w:ascii="黑体" w:eastAsia="黑体"/>
          <w:color w:val="auto"/>
          <w:kern w:val="0"/>
          <w:sz w:val="30"/>
          <w:highlight w:val="none"/>
        </w:rPr>
      </w:pPr>
      <w:r>
        <w:rPr>
          <w:rFonts w:hint="eastAsia"/>
          <w:bCs/>
          <w:color w:val="auto"/>
          <w:sz w:val="24"/>
          <w:highlight w:val="none"/>
        </w:rPr>
        <w:t>技表二</w:t>
      </w:r>
    </w:p>
    <w:p>
      <w:pPr>
        <w:jc w:val="center"/>
        <w:rPr>
          <w:rFonts w:ascii="黑体" w:eastAsia="黑体"/>
          <w:color w:val="auto"/>
          <w:kern w:val="0"/>
          <w:sz w:val="30"/>
          <w:highlight w:val="none"/>
        </w:rPr>
      </w:pPr>
      <w:r>
        <w:rPr>
          <w:rFonts w:hint="eastAsia" w:ascii="黑体" w:eastAsia="黑体"/>
          <w:color w:val="auto"/>
          <w:kern w:val="0"/>
          <w:sz w:val="30"/>
          <w:highlight w:val="none"/>
        </w:rPr>
        <w:t>主要投标材料、设备清单</w:t>
      </w:r>
    </w:p>
    <w:p>
      <w:pPr>
        <w:jc w:val="center"/>
        <w:rPr>
          <w:color w:val="auto"/>
          <w:highlight w:val="none"/>
        </w:rPr>
      </w:pPr>
      <w:r>
        <w:rPr>
          <w:rFonts w:hint="eastAsia" w:ascii="宋体"/>
          <w:color w:val="auto"/>
          <w:kern w:val="0"/>
          <w:sz w:val="24"/>
          <w:highlight w:val="none"/>
        </w:rPr>
        <w:t xml:space="preserve">                                                                   </w:t>
      </w:r>
    </w:p>
    <w:tbl>
      <w:tblPr>
        <w:tblStyle w:val="4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99"/>
        <w:gridCol w:w="1313"/>
        <w:gridCol w:w="1701"/>
        <w:gridCol w:w="1311"/>
        <w:gridCol w:w="14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9" w:type="dxa"/>
            <w:vAlign w:val="center"/>
          </w:tcPr>
          <w:p>
            <w:pPr>
              <w:autoSpaceDE w:val="0"/>
              <w:autoSpaceDN w:val="0"/>
              <w:adjustRightInd w:val="0"/>
              <w:jc w:val="center"/>
              <w:rPr>
                <w:rFonts w:ascii="宋体"/>
                <w:color w:val="auto"/>
                <w:kern w:val="0"/>
                <w:sz w:val="24"/>
                <w:highlight w:val="none"/>
              </w:rPr>
            </w:pPr>
            <w:r>
              <w:rPr>
                <w:rFonts w:hint="eastAsia" w:ascii="宋体"/>
                <w:color w:val="auto"/>
                <w:kern w:val="0"/>
                <w:sz w:val="24"/>
                <w:highlight w:val="none"/>
              </w:rPr>
              <w:t>材料、设备名称</w:t>
            </w:r>
          </w:p>
        </w:tc>
        <w:tc>
          <w:tcPr>
            <w:tcW w:w="1313" w:type="dxa"/>
            <w:vAlign w:val="center"/>
          </w:tcPr>
          <w:p>
            <w:pPr>
              <w:autoSpaceDE w:val="0"/>
              <w:autoSpaceDN w:val="0"/>
              <w:adjustRightInd w:val="0"/>
              <w:jc w:val="center"/>
              <w:rPr>
                <w:rFonts w:ascii="宋体"/>
                <w:color w:val="auto"/>
                <w:kern w:val="0"/>
                <w:sz w:val="24"/>
                <w:highlight w:val="none"/>
              </w:rPr>
            </w:pPr>
            <w:r>
              <w:rPr>
                <w:rFonts w:hint="eastAsia" w:ascii="宋体"/>
                <w:color w:val="auto"/>
                <w:kern w:val="0"/>
                <w:sz w:val="24"/>
                <w:highlight w:val="none"/>
              </w:rPr>
              <w:t>品牌</w:t>
            </w:r>
          </w:p>
        </w:tc>
        <w:tc>
          <w:tcPr>
            <w:tcW w:w="1701" w:type="dxa"/>
            <w:vAlign w:val="center"/>
          </w:tcPr>
          <w:p>
            <w:pPr>
              <w:autoSpaceDE w:val="0"/>
              <w:autoSpaceDN w:val="0"/>
              <w:adjustRightInd w:val="0"/>
              <w:jc w:val="center"/>
              <w:rPr>
                <w:rFonts w:ascii="宋体"/>
                <w:color w:val="auto"/>
                <w:kern w:val="0"/>
                <w:sz w:val="24"/>
                <w:highlight w:val="none"/>
              </w:rPr>
            </w:pPr>
            <w:r>
              <w:rPr>
                <w:rFonts w:hint="eastAsia" w:ascii="宋体"/>
                <w:color w:val="auto"/>
                <w:kern w:val="0"/>
                <w:sz w:val="24"/>
                <w:highlight w:val="none"/>
              </w:rPr>
              <w:t>型号</w:t>
            </w:r>
          </w:p>
        </w:tc>
        <w:tc>
          <w:tcPr>
            <w:tcW w:w="1311" w:type="dxa"/>
            <w:vAlign w:val="center"/>
          </w:tcPr>
          <w:p>
            <w:pPr>
              <w:autoSpaceDE w:val="0"/>
              <w:autoSpaceDN w:val="0"/>
              <w:adjustRightInd w:val="0"/>
              <w:jc w:val="center"/>
              <w:rPr>
                <w:rFonts w:ascii="宋体"/>
                <w:color w:val="auto"/>
                <w:kern w:val="0"/>
                <w:sz w:val="24"/>
                <w:highlight w:val="none"/>
              </w:rPr>
            </w:pPr>
            <w:r>
              <w:rPr>
                <w:rFonts w:hint="eastAsia" w:ascii="宋体"/>
                <w:color w:val="auto"/>
                <w:kern w:val="0"/>
                <w:sz w:val="24"/>
                <w:highlight w:val="none"/>
              </w:rPr>
              <w:t>质保期</w:t>
            </w:r>
          </w:p>
        </w:tc>
        <w:tc>
          <w:tcPr>
            <w:tcW w:w="1449" w:type="dxa"/>
            <w:vAlign w:val="center"/>
          </w:tcPr>
          <w:p>
            <w:pPr>
              <w:autoSpaceDE w:val="0"/>
              <w:autoSpaceDN w:val="0"/>
              <w:adjustRightInd w:val="0"/>
              <w:jc w:val="center"/>
              <w:rPr>
                <w:rFonts w:ascii="宋体"/>
                <w:color w:val="auto"/>
                <w:kern w:val="0"/>
                <w:sz w:val="24"/>
                <w:highlight w:val="none"/>
              </w:rPr>
            </w:pPr>
            <w:r>
              <w:rPr>
                <w:rFonts w:hint="eastAsia" w:ascii="宋体"/>
                <w:color w:val="auto"/>
                <w:kern w:val="0"/>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9" w:type="dxa"/>
            <w:vAlign w:val="center"/>
          </w:tcPr>
          <w:p>
            <w:pPr>
              <w:autoSpaceDE w:val="0"/>
              <w:autoSpaceDN w:val="0"/>
              <w:adjustRightInd w:val="0"/>
              <w:rPr>
                <w:rFonts w:ascii="宋体" w:hAnsi="宋体"/>
                <w:color w:val="auto"/>
                <w:kern w:val="0"/>
                <w:sz w:val="24"/>
                <w:highlight w:val="none"/>
              </w:rPr>
            </w:pPr>
            <w:r>
              <w:rPr>
                <w:rFonts w:hint="eastAsia" w:ascii="宋体" w:hAnsi="宋体"/>
                <w:color w:val="auto"/>
                <w:kern w:val="0"/>
                <w:sz w:val="24"/>
                <w:highlight w:val="none"/>
              </w:rPr>
              <w:t>光伏组件</w:t>
            </w:r>
          </w:p>
        </w:tc>
        <w:tc>
          <w:tcPr>
            <w:tcW w:w="1313" w:type="dxa"/>
          </w:tcPr>
          <w:p>
            <w:pPr>
              <w:rPr>
                <w:color w:val="auto"/>
                <w:highlight w:val="none"/>
              </w:rPr>
            </w:pPr>
          </w:p>
        </w:tc>
        <w:tc>
          <w:tcPr>
            <w:tcW w:w="1701" w:type="dxa"/>
            <w:vAlign w:val="center"/>
          </w:tcPr>
          <w:p>
            <w:pPr>
              <w:rPr>
                <w:color w:val="auto"/>
                <w:highlight w:val="none"/>
              </w:rPr>
            </w:pPr>
          </w:p>
        </w:tc>
        <w:tc>
          <w:tcPr>
            <w:tcW w:w="1311" w:type="dxa"/>
            <w:vAlign w:val="center"/>
          </w:tcPr>
          <w:p>
            <w:pPr>
              <w:rPr>
                <w:color w:val="auto"/>
                <w:highlight w:val="none"/>
              </w:rPr>
            </w:pPr>
          </w:p>
        </w:tc>
        <w:tc>
          <w:tcPr>
            <w:tcW w:w="1449" w:type="dxa"/>
            <w:vAlign w:val="center"/>
          </w:tcPr>
          <w:p>
            <w:pP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9" w:type="dxa"/>
            <w:vAlign w:val="center"/>
          </w:tcPr>
          <w:p>
            <w:pPr>
              <w:autoSpaceDE w:val="0"/>
              <w:autoSpaceDN w:val="0"/>
              <w:adjustRightInd w:val="0"/>
              <w:rPr>
                <w:rFonts w:ascii="宋体" w:hAnsi="宋体"/>
                <w:color w:val="auto"/>
                <w:kern w:val="0"/>
                <w:sz w:val="24"/>
                <w:highlight w:val="none"/>
              </w:rPr>
            </w:pPr>
            <w:r>
              <w:rPr>
                <w:rFonts w:hint="eastAsia" w:ascii="宋体" w:hAnsi="宋体"/>
                <w:color w:val="auto"/>
                <w:kern w:val="0"/>
                <w:sz w:val="24"/>
                <w:highlight w:val="none"/>
              </w:rPr>
              <w:t>逆变器</w:t>
            </w:r>
          </w:p>
        </w:tc>
        <w:tc>
          <w:tcPr>
            <w:tcW w:w="1313" w:type="dxa"/>
          </w:tcPr>
          <w:p>
            <w:pPr>
              <w:rPr>
                <w:color w:val="auto"/>
                <w:highlight w:val="none"/>
              </w:rPr>
            </w:pPr>
          </w:p>
        </w:tc>
        <w:tc>
          <w:tcPr>
            <w:tcW w:w="1701" w:type="dxa"/>
            <w:vAlign w:val="center"/>
          </w:tcPr>
          <w:p>
            <w:pPr>
              <w:rPr>
                <w:color w:val="auto"/>
                <w:highlight w:val="none"/>
              </w:rPr>
            </w:pPr>
          </w:p>
        </w:tc>
        <w:tc>
          <w:tcPr>
            <w:tcW w:w="1311" w:type="dxa"/>
            <w:vAlign w:val="center"/>
          </w:tcPr>
          <w:p>
            <w:pPr>
              <w:rPr>
                <w:color w:val="auto"/>
                <w:highlight w:val="none"/>
              </w:rPr>
            </w:pPr>
          </w:p>
        </w:tc>
        <w:tc>
          <w:tcPr>
            <w:tcW w:w="1449" w:type="dxa"/>
            <w:vAlign w:val="center"/>
          </w:tcPr>
          <w:p>
            <w:pP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9" w:type="dxa"/>
            <w:vAlign w:val="center"/>
          </w:tcPr>
          <w:p>
            <w:pPr>
              <w:autoSpaceDE w:val="0"/>
              <w:autoSpaceDN w:val="0"/>
              <w:adjustRightInd w:val="0"/>
              <w:rPr>
                <w:rFonts w:ascii="宋体" w:hAnsi="宋体"/>
                <w:color w:val="auto"/>
                <w:kern w:val="0"/>
                <w:sz w:val="24"/>
                <w:highlight w:val="none"/>
              </w:rPr>
            </w:pPr>
            <w:r>
              <w:rPr>
                <w:rFonts w:hint="eastAsia" w:ascii="宋体" w:hAnsi="宋体"/>
                <w:color w:val="auto"/>
                <w:kern w:val="0"/>
                <w:sz w:val="24"/>
                <w:highlight w:val="none"/>
              </w:rPr>
              <w:t>组件支架</w:t>
            </w:r>
          </w:p>
        </w:tc>
        <w:tc>
          <w:tcPr>
            <w:tcW w:w="1313" w:type="dxa"/>
          </w:tcPr>
          <w:p>
            <w:pPr>
              <w:rPr>
                <w:color w:val="auto"/>
                <w:highlight w:val="none"/>
              </w:rPr>
            </w:pPr>
          </w:p>
        </w:tc>
        <w:tc>
          <w:tcPr>
            <w:tcW w:w="1701" w:type="dxa"/>
            <w:vAlign w:val="center"/>
          </w:tcPr>
          <w:p>
            <w:pPr>
              <w:rPr>
                <w:color w:val="auto"/>
                <w:highlight w:val="none"/>
              </w:rPr>
            </w:pPr>
          </w:p>
        </w:tc>
        <w:tc>
          <w:tcPr>
            <w:tcW w:w="1311" w:type="dxa"/>
            <w:vAlign w:val="center"/>
          </w:tcPr>
          <w:p>
            <w:pPr>
              <w:rPr>
                <w:color w:val="auto"/>
                <w:highlight w:val="none"/>
              </w:rPr>
            </w:pPr>
          </w:p>
        </w:tc>
        <w:tc>
          <w:tcPr>
            <w:tcW w:w="1449" w:type="dxa"/>
            <w:vAlign w:val="center"/>
          </w:tcPr>
          <w:p>
            <w:pP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9" w:type="dxa"/>
            <w:vAlign w:val="center"/>
          </w:tcPr>
          <w:p>
            <w:pPr>
              <w:autoSpaceDE w:val="0"/>
              <w:autoSpaceDN w:val="0"/>
              <w:adjustRightInd w:val="0"/>
              <w:rPr>
                <w:rFonts w:ascii="宋体" w:hAnsi="宋体"/>
                <w:color w:val="auto"/>
                <w:kern w:val="0"/>
                <w:sz w:val="24"/>
                <w:highlight w:val="none"/>
              </w:rPr>
            </w:pPr>
            <w:r>
              <w:rPr>
                <w:rFonts w:hint="eastAsia" w:ascii="宋体" w:hAnsi="宋体"/>
                <w:color w:val="auto"/>
                <w:kern w:val="0"/>
                <w:sz w:val="24"/>
                <w:highlight w:val="none"/>
              </w:rPr>
              <w:t>电缆</w:t>
            </w:r>
          </w:p>
        </w:tc>
        <w:tc>
          <w:tcPr>
            <w:tcW w:w="1313" w:type="dxa"/>
          </w:tcPr>
          <w:p>
            <w:pPr>
              <w:rPr>
                <w:color w:val="auto"/>
                <w:highlight w:val="none"/>
              </w:rPr>
            </w:pPr>
          </w:p>
        </w:tc>
        <w:tc>
          <w:tcPr>
            <w:tcW w:w="1701" w:type="dxa"/>
            <w:vAlign w:val="center"/>
          </w:tcPr>
          <w:p>
            <w:pPr>
              <w:rPr>
                <w:color w:val="auto"/>
                <w:highlight w:val="none"/>
              </w:rPr>
            </w:pPr>
          </w:p>
        </w:tc>
        <w:tc>
          <w:tcPr>
            <w:tcW w:w="1311" w:type="dxa"/>
            <w:vAlign w:val="center"/>
          </w:tcPr>
          <w:p>
            <w:pPr>
              <w:rPr>
                <w:color w:val="auto"/>
                <w:highlight w:val="none"/>
              </w:rPr>
            </w:pPr>
          </w:p>
        </w:tc>
        <w:tc>
          <w:tcPr>
            <w:tcW w:w="1449" w:type="dxa"/>
            <w:vAlign w:val="center"/>
          </w:tcPr>
          <w:p>
            <w:pP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9" w:type="dxa"/>
            <w:vAlign w:val="center"/>
          </w:tcPr>
          <w:p>
            <w:pPr>
              <w:autoSpaceDE w:val="0"/>
              <w:autoSpaceDN w:val="0"/>
              <w:adjustRightInd w:val="0"/>
              <w:rPr>
                <w:rFonts w:ascii="宋体" w:hAnsi="宋体"/>
                <w:color w:val="auto"/>
                <w:kern w:val="0"/>
                <w:sz w:val="24"/>
                <w:highlight w:val="none"/>
              </w:rPr>
            </w:pPr>
            <w:r>
              <w:rPr>
                <w:rFonts w:hint="eastAsia" w:ascii="宋体" w:hAnsi="宋体"/>
                <w:color w:val="auto"/>
                <w:kern w:val="0"/>
                <w:sz w:val="24"/>
                <w:highlight w:val="none"/>
              </w:rPr>
              <w:t>控制柜及其主要器件</w:t>
            </w:r>
          </w:p>
        </w:tc>
        <w:tc>
          <w:tcPr>
            <w:tcW w:w="1313" w:type="dxa"/>
          </w:tcPr>
          <w:p>
            <w:pPr>
              <w:rPr>
                <w:color w:val="auto"/>
                <w:highlight w:val="none"/>
              </w:rPr>
            </w:pPr>
          </w:p>
        </w:tc>
        <w:tc>
          <w:tcPr>
            <w:tcW w:w="1701" w:type="dxa"/>
            <w:vAlign w:val="center"/>
          </w:tcPr>
          <w:p>
            <w:pPr>
              <w:rPr>
                <w:color w:val="auto"/>
                <w:highlight w:val="none"/>
              </w:rPr>
            </w:pPr>
          </w:p>
        </w:tc>
        <w:tc>
          <w:tcPr>
            <w:tcW w:w="1311" w:type="dxa"/>
            <w:vAlign w:val="center"/>
          </w:tcPr>
          <w:p>
            <w:pPr>
              <w:rPr>
                <w:color w:val="auto"/>
                <w:highlight w:val="none"/>
              </w:rPr>
            </w:pPr>
          </w:p>
        </w:tc>
        <w:tc>
          <w:tcPr>
            <w:tcW w:w="1449" w:type="dxa"/>
            <w:vAlign w:val="center"/>
          </w:tcPr>
          <w:p>
            <w:pP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9" w:type="dxa"/>
            <w:vAlign w:val="center"/>
          </w:tcPr>
          <w:p>
            <w:pPr>
              <w:autoSpaceDE w:val="0"/>
              <w:autoSpaceDN w:val="0"/>
              <w:adjustRightInd w:val="0"/>
              <w:rPr>
                <w:rFonts w:ascii="宋体" w:hAnsi="宋体"/>
                <w:color w:val="auto"/>
                <w:kern w:val="0"/>
                <w:sz w:val="24"/>
                <w:highlight w:val="none"/>
              </w:rPr>
            </w:pPr>
            <w:r>
              <w:rPr>
                <w:rFonts w:hint="eastAsia" w:ascii="宋体" w:hAnsi="宋体"/>
                <w:color w:val="auto"/>
                <w:kern w:val="0"/>
                <w:sz w:val="24"/>
                <w:highlight w:val="none"/>
              </w:rPr>
              <w:t>.......</w:t>
            </w:r>
          </w:p>
        </w:tc>
        <w:tc>
          <w:tcPr>
            <w:tcW w:w="1313" w:type="dxa"/>
          </w:tcPr>
          <w:p>
            <w:pPr>
              <w:rPr>
                <w:color w:val="auto"/>
                <w:highlight w:val="none"/>
              </w:rPr>
            </w:pPr>
          </w:p>
        </w:tc>
        <w:tc>
          <w:tcPr>
            <w:tcW w:w="1701" w:type="dxa"/>
            <w:vAlign w:val="center"/>
          </w:tcPr>
          <w:p>
            <w:pPr>
              <w:rPr>
                <w:color w:val="auto"/>
                <w:highlight w:val="none"/>
              </w:rPr>
            </w:pPr>
          </w:p>
        </w:tc>
        <w:tc>
          <w:tcPr>
            <w:tcW w:w="1311" w:type="dxa"/>
            <w:vAlign w:val="center"/>
          </w:tcPr>
          <w:p>
            <w:pPr>
              <w:rPr>
                <w:color w:val="auto"/>
                <w:highlight w:val="none"/>
              </w:rPr>
            </w:pPr>
          </w:p>
        </w:tc>
        <w:tc>
          <w:tcPr>
            <w:tcW w:w="1449" w:type="dxa"/>
            <w:vAlign w:val="center"/>
          </w:tcPr>
          <w:p>
            <w:pP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9" w:type="dxa"/>
          </w:tcPr>
          <w:p>
            <w:pPr>
              <w:rPr>
                <w:color w:val="auto"/>
                <w:highlight w:val="none"/>
              </w:rPr>
            </w:pPr>
          </w:p>
        </w:tc>
        <w:tc>
          <w:tcPr>
            <w:tcW w:w="1313" w:type="dxa"/>
          </w:tcPr>
          <w:p>
            <w:pPr>
              <w:rPr>
                <w:color w:val="auto"/>
                <w:highlight w:val="none"/>
              </w:rPr>
            </w:pPr>
          </w:p>
        </w:tc>
        <w:tc>
          <w:tcPr>
            <w:tcW w:w="1701" w:type="dxa"/>
          </w:tcPr>
          <w:p>
            <w:pPr>
              <w:rPr>
                <w:color w:val="auto"/>
                <w:highlight w:val="none"/>
              </w:rPr>
            </w:pPr>
          </w:p>
        </w:tc>
        <w:tc>
          <w:tcPr>
            <w:tcW w:w="1311" w:type="dxa"/>
          </w:tcPr>
          <w:p>
            <w:pPr>
              <w:rPr>
                <w:color w:val="auto"/>
                <w:highlight w:val="none"/>
              </w:rPr>
            </w:pPr>
          </w:p>
        </w:tc>
        <w:tc>
          <w:tcPr>
            <w:tcW w:w="1449" w:type="dxa"/>
          </w:tcPr>
          <w:p>
            <w:pP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9" w:type="dxa"/>
          </w:tcPr>
          <w:p>
            <w:pPr>
              <w:rPr>
                <w:color w:val="auto"/>
                <w:highlight w:val="none"/>
              </w:rPr>
            </w:pPr>
          </w:p>
        </w:tc>
        <w:tc>
          <w:tcPr>
            <w:tcW w:w="1313" w:type="dxa"/>
          </w:tcPr>
          <w:p>
            <w:pPr>
              <w:rPr>
                <w:color w:val="auto"/>
                <w:highlight w:val="none"/>
              </w:rPr>
            </w:pPr>
          </w:p>
        </w:tc>
        <w:tc>
          <w:tcPr>
            <w:tcW w:w="1701" w:type="dxa"/>
          </w:tcPr>
          <w:p>
            <w:pPr>
              <w:rPr>
                <w:color w:val="auto"/>
                <w:highlight w:val="none"/>
              </w:rPr>
            </w:pPr>
          </w:p>
        </w:tc>
        <w:tc>
          <w:tcPr>
            <w:tcW w:w="1311" w:type="dxa"/>
          </w:tcPr>
          <w:p>
            <w:pPr>
              <w:rPr>
                <w:color w:val="auto"/>
                <w:highlight w:val="none"/>
              </w:rPr>
            </w:pPr>
          </w:p>
        </w:tc>
        <w:tc>
          <w:tcPr>
            <w:tcW w:w="1449" w:type="dxa"/>
          </w:tcPr>
          <w:p>
            <w:pP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9" w:type="dxa"/>
          </w:tcPr>
          <w:p>
            <w:pPr>
              <w:rPr>
                <w:color w:val="auto"/>
                <w:highlight w:val="none"/>
              </w:rPr>
            </w:pPr>
          </w:p>
        </w:tc>
        <w:tc>
          <w:tcPr>
            <w:tcW w:w="1313" w:type="dxa"/>
          </w:tcPr>
          <w:p>
            <w:pPr>
              <w:rPr>
                <w:color w:val="auto"/>
                <w:highlight w:val="none"/>
              </w:rPr>
            </w:pPr>
          </w:p>
        </w:tc>
        <w:tc>
          <w:tcPr>
            <w:tcW w:w="1701" w:type="dxa"/>
          </w:tcPr>
          <w:p>
            <w:pPr>
              <w:rPr>
                <w:color w:val="auto"/>
                <w:highlight w:val="none"/>
              </w:rPr>
            </w:pPr>
          </w:p>
        </w:tc>
        <w:tc>
          <w:tcPr>
            <w:tcW w:w="1311" w:type="dxa"/>
          </w:tcPr>
          <w:p>
            <w:pPr>
              <w:rPr>
                <w:color w:val="auto"/>
                <w:highlight w:val="none"/>
              </w:rPr>
            </w:pPr>
          </w:p>
        </w:tc>
        <w:tc>
          <w:tcPr>
            <w:tcW w:w="1449" w:type="dxa"/>
          </w:tcPr>
          <w:p>
            <w:pP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9" w:type="dxa"/>
          </w:tcPr>
          <w:p>
            <w:pPr>
              <w:rPr>
                <w:color w:val="auto"/>
                <w:highlight w:val="none"/>
              </w:rPr>
            </w:pPr>
          </w:p>
        </w:tc>
        <w:tc>
          <w:tcPr>
            <w:tcW w:w="1313" w:type="dxa"/>
          </w:tcPr>
          <w:p>
            <w:pPr>
              <w:rPr>
                <w:color w:val="auto"/>
                <w:highlight w:val="none"/>
              </w:rPr>
            </w:pPr>
          </w:p>
        </w:tc>
        <w:tc>
          <w:tcPr>
            <w:tcW w:w="1701" w:type="dxa"/>
          </w:tcPr>
          <w:p>
            <w:pPr>
              <w:rPr>
                <w:color w:val="auto"/>
                <w:highlight w:val="none"/>
              </w:rPr>
            </w:pPr>
          </w:p>
        </w:tc>
        <w:tc>
          <w:tcPr>
            <w:tcW w:w="1311" w:type="dxa"/>
          </w:tcPr>
          <w:p>
            <w:pPr>
              <w:rPr>
                <w:color w:val="auto"/>
                <w:highlight w:val="none"/>
              </w:rPr>
            </w:pPr>
          </w:p>
        </w:tc>
        <w:tc>
          <w:tcPr>
            <w:tcW w:w="1449" w:type="dxa"/>
          </w:tcPr>
          <w:p>
            <w:pP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9" w:type="dxa"/>
          </w:tcPr>
          <w:p>
            <w:pPr>
              <w:rPr>
                <w:color w:val="auto"/>
                <w:highlight w:val="none"/>
              </w:rPr>
            </w:pPr>
          </w:p>
        </w:tc>
        <w:tc>
          <w:tcPr>
            <w:tcW w:w="1313" w:type="dxa"/>
          </w:tcPr>
          <w:p>
            <w:pPr>
              <w:rPr>
                <w:color w:val="auto"/>
                <w:highlight w:val="none"/>
              </w:rPr>
            </w:pPr>
          </w:p>
        </w:tc>
        <w:tc>
          <w:tcPr>
            <w:tcW w:w="1701" w:type="dxa"/>
          </w:tcPr>
          <w:p>
            <w:pPr>
              <w:rPr>
                <w:color w:val="auto"/>
                <w:highlight w:val="none"/>
              </w:rPr>
            </w:pPr>
          </w:p>
        </w:tc>
        <w:tc>
          <w:tcPr>
            <w:tcW w:w="1311" w:type="dxa"/>
          </w:tcPr>
          <w:p>
            <w:pPr>
              <w:rPr>
                <w:color w:val="auto"/>
                <w:highlight w:val="none"/>
              </w:rPr>
            </w:pPr>
          </w:p>
        </w:tc>
        <w:tc>
          <w:tcPr>
            <w:tcW w:w="1449" w:type="dxa"/>
          </w:tcPr>
          <w:p>
            <w:pP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9" w:type="dxa"/>
          </w:tcPr>
          <w:p>
            <w:pPr>
              <w:rPr>
                <w:color w:val="auto"/>
                <w:highlight w:val="none"/>
              </w:rPr>
            </w:pPr>
          </w:p>
        </w:tc>
        <w:tc>
          <w:tcPr>
            <w:tcW w:w="1313" w:type="dxa"/>
          </w:tcPr>
          <w:p>
            <w:pPr>
              <w:rPr>
                <w:color w:val="auto"/>
                <w:highlight w:val="none"/>
              </w:rPr>
            </w:pPr>
          </w:p>
        </w:tc>
        <w:tc>
          <w:tcPr>
            <w:tcW w:w="1701" w:type="dxa"/>
          </w:tcPr>
          <w:p>
            <w:pPr>
              <w:rPr>
                <w:color w:val="auto"/>
                <w:highlight w:val="none"/>
              </w:rPr>
            </w:pPr>
          </w:p>
        </w:tc>
        <w:tc>
          <w:tcPr>
            <w:tcW w:w="1311" w:type="dxa"/>
          </w:tcPr>
          <w:p>
            <w:pPr>
              <w:rPr>
                <w:color w:val="auto"/>
                <w:highlight w:val="none"/>
              </w:rPr>
            </w:pPr>
          </w:p>
        </w:tc>
        <w:tc>
          <w:tcPr>
            <w:tcW w:w="1449" w:type="dxa"/>
          </w:tcPr>
          <w:p>
            <w:pP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9" w:type="dxa"/>
          </w:tcPr>
          <w:p>
            <w:pPr>
              <w:rPr>
                <w:color w:val="auto"/>
                <w:highlight w:val="none"/>
              </w:rPr>
            </w:pPr>
          </w:p>
        </w:tc>
        <w:tc>
          <w:tcPr>
            <w:tcW w:w="1313" w:type="dxa"/>
          </w:tcPr>
          <w:p>
            <w:pPr>
              <w:rPr>
                <w:color w:val="auto"/>
                <w:highlight w:val="none"/>
              </w:rPr>
            </w:pPr>
          </w:p>
        </w:tc>
        <w:tc>
          <w:tcPr>
            <w:tcW w:w="1701" w:type="dxa"/>
          </w:tcPr>
          <w:p>
            <w:pPr>
              <w:rPr>
                <w:color w:val="auto"/>
                <w:highlight w:val="none"/>
              </w:rPr>
            </w:pPr>
          </w:p>
        </w:tc>
        <w:tc>
          <w:tcPr>
            <w:tcW w:w="1311" w:type="dxa"/>
          </w:tcPr>
          <w:p>
            <w:pPr>
              <w:rPr>
                <w:color w:val="auto"/>
                <w:highlight w:val="none"/>
              </w:rPr>
            </w:pPr>
          </w:p>
        </w:tc>
        <w:tc>
          <w:tcPr>
            <w:tcW w:w="1449" w:type="dxa"/>
          </w:tcPr>
          <w:p>
            <w:pP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9" w:type="dxa"/>
          </w:tcPr>
          <w:p>
            <w:pPr>
              <w:rPr>
                <w:color w:val="auto"/>
                <w:highlight w:val="none"/>
              </w:rPr>
            </w:pPr>
          </w:p>
        </w:tc>
        <w:tc>
          <w:tcPr>
            <w:tcW w:w="1313" w:type="dxa"/>
          </w:tcPr>
          <w:p>
            <w:pPr>
              <w:rPr>
                <w:color w:val="auto"/>
                <w:highlight w:val="none"/>
              </w:rPr>
            </w:pPr>
          </w:p>
        </w:tc>
        <w:tc>
          <w:tcPr>
            <w:tcW w:w="1701" w:type="dxa"/>
          </w:tcPr>
          <w:p>
            <w:pPr>
              <w:rPr>
                <w:color w:val="auto"/>
                <w:highlight w:val="none"/>
              </w:rPr>
            </w:pPr>
          </w:p>
        </w:tc>
        <w:tc>
          <w:tcPr>
            <w:tcW w:w="1311" w:type="dxa"/>
          </w:tcPr>
          <w:p>
            <w:pPr>
              <w:rPr>
                <w:color w:val="auto"/>
                <w:highlight w:val="none"/>
              </w:rPr>
            </w:pPr>
          </w:p>
        </w:tc>
        <w:tc>
          <w:tcPr>
            <w:tcW w:w="1449" w:type="dxa"/>
          </w:tcPr>
          <w:p>
            <w:pPr>
              <w:rPr>
                <w:color w:val="auto"/>
                <w:highlight w:val="none"/>
              </w:rPr>
            </w:pPr>
          </w:p>
        </w:tc>
      </w:tr>
    </w:tbl>
    <w:p>
      <w:pPr>
        <w:tabs>
          <w:tab w:val="left" w:pos="750"/>
        </w:tabs>
        <w:ind w:right="480"/>
        <w:jc w:val="left"/>
        <w:rPr>
          <w:color w:val="auto"/>
          <w:highlight w:val="none"/>
        </w:rPr>
      </w:pPr>
    </w:p>
    <w:p>
      <w:pPr>
        <w:tabs>
          <w:tab w:val="left" w:pos="750"/>
        </w:tabs>
        <w:ind w:right="480"/>
        <w:jc w:val="left"/>
        <w:rPr>
          <w:color w:val="auto"/>
          <w:highlight w:val="none"/>
        </w:rPr>
      </w:pPr>
    </w:p>
    <w:p>
      <w:pPr>
        <w:tabs>
          <w:tab w:val="left" w:pos="750"/>
        </w:tabs>
        <w:ind w:right="480"/>
        <w:jc w:val="left"/>
        <w:rPr>
          <w:color w:val="auto"/>
          <w:highlight w:val="none"/>
        </w:rPr>
      </w:pPr>
    </w:p>
    <w:p>
      <w:pPr>
        <w:tabs>
          <w:tab w:val="left" w:pos="750"/>
        </w:tabs>
        <w:ind w:right="480"/>
        <w:jc w:val="left"/>
        <w:rPr>
          <w:color w:val="auto"/>
          <w:highlight w:val="none"/>
        </w:rPr>
      </w:pPr>
    </w:p>
    <w:p>
      <w:pPr>
        <w:widowControl/>
        <w:snapToGrid w:val="0"/>
        <w:spacing w:beforeLines="50" w:afterLines="50" w:line="360" w:lineRule="auto"/>
        <w:ind w:firstLine="4080"/>
        <w:rPr>
          <w:color w:val="auto"/>
          <w:szCs w:val="21"/>
          <w:highlight w:val="none"/>
        </w:rPr>
      </w:pPr>
      <w:r>
        <w:rPr>
          <w:rFonts w:hint="eastAsia"/>
          <w:color w:val="auto"/>
          <w:szCs w:val="21"/>
          <w:highlight w:val="none"/>
        </w:rPr>
        <w:t xml:space="preserve">      </w:t>
      </w:r>
      <w:r>
        <w:rPr>
          <w:color w:val="auto"/>
          <w:szCs w:val="21"/>
          <w:highlight w:val="none"/>
        </w:rPr>
        <w:t>投标人</w:t>
      </w:r>
      <w:r>
        <w:rPr>
          <w:rFonts w:hint="eastAsia"/>
          <w:color w:val="auto"/>
          <w:szCs w:val="21"/>
          <w:highlight w:val="none"/>
        </w:rPr>
        <w:t>（盖公章）</w:t>
      </w:r>
      <w:r>
        <w:rPr>
          <w:color w:val="auto"/>
          <w:szCs w:val="21"/>
          <w:highlight w:val="none"/>
        </w:rPr>
        <w:t>：</w:t>
      </w:r>
    </w:p>
    <w:p>
      <w:pPr>
        <w:widowControl/>
        <w:tabs>
          <w:tab w:val="left" w:pos="4080"/>
        </w:tabs>
        <w:snapToGrid w:val="0"/>
        <w:spacing w:beforeLines="50" w:afterLines="50" w:line="360" w:lineRule="auto"/>
        <w:rPr>
          <w:rFonts w:eastAsia="黑体"/>
          <w:color w:val="auto"/>
          <w:szCs w:val="21"/>
          <w:highlight w:val="none"/>
        </w:rPr>
      </w:pPr>
      <w:r>
        <w:rPr>
          <w:rFonts w:hint="eastAsia"/>
          <w:color w:val="auto"/>
          <w:szCs w:val="21"/>
          <w:highlight w:val="none"/>
        </w:rPr>
        <w:tab/>
      </w:r>
      <w:r>
        <w:rPr>
          <w:rFonts w:hint="eastAsia"/>
          <w:color w:val="auto"/>
          <w:szCs w:val="21"/>
          <w:highlight w:val="none"/>
        </w:rPr>
        <w:t xml:space="preserve">      </w:t>
      </w:r>
      <w:r>
        <w:rPr>
          <w:color w:val="auto"/>
          <w:szCs w:val="21"/>
          <w:highlight w:val="none"/>
        </w:rPr>
        <w:t>法定代表人或授权代表</w:t>
      </w:r>
      <w:r>
        <w:rPr>
          <w:rFonts w:hint="eastAsia"/>
          <w:color w:val="auto"/>
          <w:szCs w:val="21"/>
          <w:highlight w:val="none"/>
        </w:rPr>
        <w:t>（</w:t>
      </w:r>
      <w:r>
        <w:rPr>
          <w:color w:val="auto"/>
          <w:szCs w:val="21"/>
          <w:highlight w:val="none"/>
        </w:rPr>
        <w:t>签字</w:t>
      </w:r>
      <w:r>
        <w:rPr>
          <w:rFonts w:hint="eastAsia"/>
          <w:color w:val="auto"/>
          <w:szCs w:val="21"/>
          <w:highlight w:val="none"/>
        </w:rPr>
        <w:t>或盖章）：</w:t>
      </w:r>
    </w:p>
    <w:p>
      <w:pPr>
        <w:spacing w:line="440" w:lineRule="exact"/>
        <w:jc w:val="center"/>
        <w:rPr>
          <w:rFonts w:eastAsia="黑体"/>
          <w:color w:val="auto"/>
          <w:szCs w:val="21"/>
          <w:highlight w:val="none"/>
        </w:rPr>
        <w:sectPr>
          <w:pgSz w:w="11906" w:h="16838"/>
          <w:pgMar w:top="1440" w:right="1800" w:bottom="1440" w:left="1800" w:header="851" w:footer="992" w:gutter="0"/>
          <w:cols w:space="720" w:num="1"/>
          <w:docGrid w:type="lines" w:linePitch="312" w:charSpace="0"/>
        </w:sectPr>
      </w:pPr>
      <w:r>
        <w:rPr>
          <w:rFonts w:hint="eastAsia"/>
          <w:color w:val="auto"/>
          <w:szCs w:val="21"/>
          <w:highlight w:val="none"/>
        </w:rPr>
        <w:t xml:space="preserve">                                           </w:t>
      </w:r>
      <w:r>
        <w:rPr>
          <w:color w:val="auto"/>
          <w:szCs w:val="21"/>
          <w:highlight w:val="none"/>
        </w:rPr>
        <w:t>日期：</w:t>
      </w:r>
      <w:r>
        <w:rPr>
          <w:rFonts w:hint="eastAsia"/>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p>
    <w:p>
      <w:pPr>
        <w:tabs>
          <w:tab w:val="left" w:pos="750"/>
        </w:tabs>
        <w:ind w:right="480"/>
        <w:rPr>
          <w:bCs/>
          <w:color w:val="auto"/>
          <w:sz w:val="24"/>
          <w:highlight w:val="none"/>
        </w:rPr>
      </w:pPr>
      <w:r>
        <w:rPr>
          <w:rFonts w:hint="eastAsia"/>
          <w:bCs/>
          <w:color w:val="auto"/>
          <w:sz w:val="24"/>
          <w:highlight w:val="none"/>
        </w:rPr>
        <w:t>技表三</w:t>
      </w:r>
    </w:p>
    <w:p>
      <w:pPr>
        <w:jc w:val="center"/>
        <w:rPr>
          <w:rFonts w:ascii="黑体" w:eastAsia="黑体"/>
          <w:color w:val="auto"/>
          <w:kern w:val="0"/>
          <w:sz w:val="30"/>
          <w:highlight w:val="none"/>
        </w:rPr>
      </w:pPr>
      <w:r>
        <w:rPr>
          <w:rFonts w:hint="eastAsia" w:ascii="黑体" w:eastAsia="黑体"/>
          <w:color w:val="auto"/>
          <w:kern w:val="0"/>
          <w:sz w:val="30"/>
          <w:highlight w:val="none"/>
        </w:rPr>
        <w:t>资格审查资料</w:t>
      </w:r>
    </w:p>
    <w:p>
      <w:pPr>
        <w:jc w:val="center"/>
        <w:rPr>
          <w:rFonts w:ascii="黑体" w:eastAsia="黑体"/>
          <w:color w:val="auto"/>
          <w:kern w:val="0"/>
          <w:sz w:val="30"/>
          <w:highlight w:val="none"/>
        </w:rPr>
      </w:pPr>
    </w:p>
    <w:tbl>
      <w:tblPr>
        <w:tblStyle w:val="4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0"/>
        <w:gridCol w:w="4320"/>
        <w:gridCol w:w="28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4" w:hRule="atLeast"/>
        </w:trPr>
        <w:tc>
          <w:tcPr>
            <w:tcW w:w="1140" w:type="dxa"/>
            <w:vAlign w:val="center"/>
          </w:tcPr>
          <w:p>
            <w:pPr>
              <w:ind w:right="17" w:rightChars="8"/>
              <w:jc w:val="center"/>
              <w:rPr>
                <w:rFonts w:ascii="宋体" w:hAnsi="宋体"/>
                <w:color w:val="auto"/>
                <w:szCs w:val="21"/>
                <w:highlight w:val="none"/>
                <w:u w:val="single"/>
              </w:rPr>
            </w:pPr>
            <w:r>
              <w:rPr>
                <w:rFonts w:hint="eastAsia" w:ascii="宋体" w:hAnsi="宋体"/>
                <w:color w:val="auto"/>
                <w:szCs w:val="21"/>
                <w:highlight w:val="none"/>
                <w:u w:val="single"/>
              </w:rPr>
              <w:t>内容</w:t>
            </w:r>
          </w:p>
        </w:tc>
        <w:tc>
          <w:tcPr>
            <w:tcW w:w="4320" w:type="dxa"/>
            <w:vAlign w:val="center"/>
          </w:tcPr>
          <w:p>
            <w:pPr>
              <w:ind w:right="17" w:rightChars="8"/>
              <w:jc w:val="center"/>
              <w:rPr>
                <w:rFonts w:ascii="宋体" w:hAnsi="宋体"/>
                <w:color w:val="auto"/>
                <w:szCs w:val="21"/>
                <w:highlight w:val="none"/>
                <w:u w:val="single"/>
              </w:rPr>
            </w:pPr>
            <w:r>
              <w:rPr>
                <w:rFonts w:hint="eastAsia" w:ascii="宋体" w:hAnsi="宋体"/>
                <w:color w:val="auto"/>
                <w:szCs w:val="21"/>
                <w:highlight w:val="none"/>
                <w:u w:val="single"/>
              </w:rPr>
              <w:t>要求</w:t>
            </w:r>
          </w:p>
        </w:tc>
        <w:tc>
          <w:tcPr>
            <w:tcW w:w="2835" w:type="dxa"/>
            <w:vAlign w:val="center"/>
          </w:tcPr>
          <w:p>
            <w:pPr>
              <w:ind w:right="17" w:rightChars="8"/>
              <w:jc w:val="center"/>
              <w:rPr>
                <w:rFonts w:ascii="宋体" w:hAnsi="宋体"/>
                <w:color w:val="auto"/>
                <w:szCs w:val="21"/>
                <w:highlight w:val="none"/>
                <w:u w:val="single"/>
              </w:rPr>
            </w:pPr>
            <w:r>
              <w:rPr>
                <w:rFonts w:hint="eastAsia" w:ascii="宋体" w:hAnsi="宋体"/>
                <w:color w:val="auto"/>
                <w:szCs w:val="21"/>
                <w:highlight w:val="none"/>
                <w:u w:val="single"/>
              </w:rPr>
              <w:t>投标人的简述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1" w:hRule="atLeast"/>
        </w:trPr>
        <w:tc>
          <w:tcPr>
            <w:tcW w:w="1140" w:type="dxa"/>
            <w:vAlign w:val="center"/>
          </w:tcPr>
          <w:p>
            <w:pPr>
              <w:ind w:right="17" w:rightChars="8"/>
              <w:jc w:val="center"/>
              <w:rPr>
                <w:rFonts w:ascii="宋体" w:hAnsi="宋体"/>
                <w:color w:val="auto"/>
                <w:szCs w:val="21"/>
                <w:highlight w:val="none"/>
                <w:u w:val="single"/>
              </w:rPr>
            </w:pPr>
            <w:r>
              <w:rPr>
                <w:rFonts w:hint="eastAsia" w:ascii="宋体" w:hAnsi="宋体"/>
                <w:color w:val="auto"/>
                <w:szCs w:val="21"/>
                <w:highlight w:val="none"/>
                <w:u w:val="single"/>
              </w:rPr>
              <w:t>资质</w:t>
            </w:r>
          </w:p>
        </w:tc>
        <w:tc>
          <w:tcPr>
            <w:tcW w:w="4320" w:type="dxa"/>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1、企业注册地在莲都区范围内（不含南明山街道）且已在丽水市莲都区发展和改革局登记的具有太阳能光电光伏系统供货能力的独立企业（①具有招标设备生产能力的制造商或其授权代理商；②法定代表人为同一人的两个及以上法人，母公司、全资子公司及其控股公司不得同时参加该项目投标；一个制造商对同一品牌同一型号的货物，仅能委托一个代理商参加投标；）；</w:t>
            </w:r>
          </w:p>
          <w:p>
            <w:pPr>
              <w:ind w:firstLine="420" w:firstLineChars="200"/>
              <w:rPr>
                <w:rFonts w:ascii="宋体" w:hAnsi="宋体"/>
                <w:color w:val="auto"/>
                <w:szCs w:val="21"/>
                <w:highlight w:val="none"/>
              </w:rPr>
            </w:pPr>
            <w:r>
              <w:rPr>
                <w:rFonts w:hint="eastAsia" w:ascii="宋体" w:hAnsi="宋体"/>
                <w:color w:val="auto"/>
                <w:szCs w:val="21"/>
                <w:highlight w:val="none"/>
              </w:rPr>
              <w:t>2、具有健全的财务制度和依法缴纳税收的良好记录；</w:t>
            </w:r>
          </w:p>
          <w:p>
            <w:pPr>
              <w:ind w:firstLine="420" w:firstLineChars="200"/>
              <w:rPr>
                <w:rFonts w:ascii="宋体" w:hAnsi="宋体"/>
                <w:color w:val="auto"/>
                <w:szCs w:val="21"/>
                <w:highlight w:val="none"/>
              </w:rPr>
            </w:pPr>
            <w:r>
              <w:rPr>
                <w:rFonts w:hint="eastAsia" w:ascii="宋体" w:hAnsi="宋体"/>
                <w:color w:val="auto"/>
                <w:szCs w:val="21"/>
                <w:highlight w:val="none"/>
              </w:rPr>
              <w:t>3、同时具有电力工程施工总承包叁级及以上资质 和安全生产许可证；</w:t>
            </w:r>
          </w:p>
          <w:p>
            <w:pPr>
              <w:ind w:firstLine="420" w:firstLineChars="200"/>
              <w:rPr>
                <w:rFonts w:ascii="宋体" w:hAnsi="宋体"/>
                <w:color w:val="auto"/>
                <w:szCs w:val="21"/>
                <w:highlight w:val="none"/>
              </w:rPr>
            </w:pPr>
            <w:r>
              <w:rPr>
                <w:rFonts w:hint="eastAsia" w:ascii="宋体" w:hAnsi="宋体"/>
                <w:color w:val="auto"/>
                <w:szCs w:val="21"/>
                <w:highlight w:val="none"/>
              </w:rPr>
              <w:t>4、投标人未被“信用中国”网站（http://www.creditchina.gov.cn）和“信用中国（浙江）”网站（http://credit.zj.gov.cn）列入严重失信黑名单；</w:t>
            </w:r>
          </w:p>
          <w:p>
            <w:pPr>
              <w:ind w:firstLine="420" w:firstLineChars="200"/>
              <w:rPr>
                <w:rFonts w:ascii="宋体" w:hAnsi="宋体"/>
                <w:color w:val="auto"/>
                <w:szCs w:val="21"/>
                <w:highlight w:val="none"/>
              </w:rPr>
            </w:pPr>
            <w:r>
              <w:rPr>
                <w:rFonts w:hint="eastAsia" w:ascii="宋体" w:hAnsi="宋体"/>
                <w:color w:val="auto"/>
                <w:szCs w:val="21"/>
                <w:highlight w:val="none"/>
              </w:rPr>
              <w:t>5、投标的屋顶光伏建设选用设备需达到国家“光伏领跑者计划”明确的技术指标或经过国家认监委批准的认证机构认证且达标的产品。</w:t>
            </w:r>
          </w:p>
          <w:p>
            <w:pPr>
              <w:ind w:firstLine="420" w:firstLineChars="200"/>
              <w:rPr>
                <w:rFonts w:ascii="宋体" w:hAnsi="宋体"/>
                <w:color w:val="auto"/>
                <w:szCs w:val="21"/>
                <w:highlight w:val="none"/>
                <w:u w:val="single"/>
              </w:rPr>
            </w:pPr>
            <w:r>
              <w:rPr>
                <w:rFonts w:hint="eastAsia" w:ascii="宋体" w:hAnsi="宋体"/>
                <w:color w:val="auto"/>
                <w:szCs w:val="21"/>
                <w:highlight w:val="none"/>
              </w:rPr>
              <w:t>6、本项目不接受联合体投标。</w:t>
            </w:r>
          </w:p>
        </w:tc>
        <w:tc>
          <w:tcPr>
            <w:tcW w:w="2835" w:type="dxa"/>
            <w:vAlign w:val="center"/>
          </w:tcPr>
          <w:p>
            <w:pPr>
              <w:ind w:right="17" w:rightChars="8"/>
              <w:jc w:val="center"/>
              <w:rPr>
                <w:rFonts w:ascii="宋体" w:hAnsi="宋体"/>
                <w:color w:val="auto"/>
                <w:szCs w:val="21"/>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05" w:hRule="atLeast"/>
        </w:trPr>
        <w:tc>
          <w:tcPr>
            <w:tcW w:w="1140" w:type="dxa"/>
            <w:vAlign w:val="center"/>
          </w:tcPr>
          <w:p>
            <w:pPr>
              <w:ind w:right="17" w:rightChars="8"/>
              <w:jc w:val="center"/>
              <w:rPr>
                <w:rFonts w:ascii="宋体" w:hAnsi="宋体"/>
                <w:color w:val="auto"/>
                <w:szCs w:val="21"/>
                <w:highlight w:val="none"/>
                <w:u w:val="single"/>
              </w:rPr>
            </w:pPr>
            <w:r>
              <w:rPr>
                <w:rFonts w:hint="eastAsia" w:ascii="宋体" w:hAnsi="宋体"/>
                <w:color w:val="auto"/>
                <w:szCs w:val="21"/>
                <w:highlight w:val="none"/>
                <w:u w:val="single"/>
              </w:rPr>
              <w:t>人员要求</w:t>
            </w:r>
          </w:p>
        </w:tc>
        <w:tc>
          <w:tcPr>
            <w:tcW w:w="4320" w:type="dxa"/>
            <w:vAlign w:val="center"/>
          </w:tcPr>
          <w:p>
            <w:pPr>
              <w:ind w:right="17" w:rightChars="8"/>
              <w:rPr>
                <w:rFonts w:ascii="宋体" w:hAnsi="宋体"/>
                <w:color w:val="auto"/>
                <w:szCs w:val="21"/>
                <w:highlight w:val="none"/>
                <w:u w:val="single"/>
              </w:rPr>
            </w:pPr>
            <w:r>
              <w:rPr>
                <w:rFonts w:hint="eastAsia" w:ascii="宋体" w:hAnsi="宋体" w:cs="宋体"/>
                <w:color w:val="auto"/>
                <w:szCs w:val="21"/>
                <w:highlight w:val="none"/>
              </w:rPr>
              <w:t>项目经理资质要求：具有机电工程专业注册建造师贰级及以上资质</w:t>
            </w:r>
          </w:p>
        </w:tc>
        <w:tc>
          <w:tcPr>
            <w:tcW w:w="2835" w:type="dxa"/>
            <w:vAlign w:val="center"/>
          </w:tcPr>
          <w:p>
            <w:pPr>
              <w:ind w:right="17" w:rightChars="8"/>
              <w:jc w:val="center"/>
              <w:rPr>
                <w:rFonts w:ascii="宋体" w:hAnsi="宋体"/>
                <w:color w:val="auto"/>
                <w:szCs w:val="21"/>
                <w:highlight w:val="none"/>
                <w:u w:val="single"/>
              </w:rPr>
            </w:pPr>
          </w:p>
        </w:tc>
      </w:tr>
    </w:tbl>
    <w:p>
      <w:pPr>
        <w:rPr>
          <w:rFonts w:ascii="宋体" w:hAnsi="宋体"/>
          <w:b/>
          <w:bCs/>
          <w:color w:val="auto"/>
          <w:szCs w:val="21"/>
          <w:highlight w:val="none"/>
        </w:rPr>
      </w:pPr>
      <w:r>
        <w:rPr>
          <w:rFonts w:hint="eastAsia" w:ascii="宋体" w:hAnsi="宋体"/>
          <w:b/>
          <w:color w:val="auto"/>
          <w:szCs w:val="21"/>
          <w:highlight w:val="none"/>
        </w:rPr>
        <w:t>说明：1、</w:t>
      </w:r>
      <w:r>
        <w:rPr>
          <w:rFonts w:hint="eastAsia" w:ascii="宋体" w:hAnsi="宋体"/>
          <w:b/>
          <w:bCs/>
          <w:color w:val="auto"/>
          <w:szCs w:val="21"/>
          <w:highlight w:val="none"/>
        </w:rPr>
        <w:t>本表后应附上营业执照 、符合要求的资质证书、纳税凭证等证明材料复印件并加盖公章；项目经理资质证书复印件并加盖公章。</w:t>
      </w:r>
    </w:p>
    <w:p>
      <w:pPr>
        <w:rPr>
          <w:color w:val="auto"/>
          <w:highlight w:val="none"/>
        </w:rPr>
      </w:pPr>
      <w:r>
        <w:rPr>
          <w:rFonts w:hint="eastAsia" w:ascii="宋体" w:hAnsi="宋体"/>
          <w:bCs/>
          <w:color w:val="auto"/>
          <w:sz w:val="28"/>
          <w:szCs w:val="21"/>
          <w:highlight w:val="none"/>
        </w:rPr>
        <w:br w:type="page"/>
      </w:r>
      <w:r>
        <w:rPr>
          <w:rFonts w:hint="eastAsia"/>
          <w:bCs/>
          <w:color w:val="auto"/>
          <w:sz w:val="24"/>
          <w:highlight w:val="none"/>
        </w:rPr>
        <w:t xml:space="preserve"> </w:t>
      </w:r>
      <w:bookmarkStart w:id="125" w:name="_Toc456864961"/>
      <w:bookmarkStart w:id="126" w:name="_Toc246680699"/>
      <w:bookmarkStart w:id="127" w:name="_Toc456094755"/>
      <w:bookmarkStart w:id="128" w:name="_Toc247333843"/>
      <w:bookmarkStart w:id="129" w:name="_Toc456865878"/>
      <w:r>
        <w:rPr>
          <w:rFonts w:hint="eastAsia"/>
          <w:bCs/>
          <w:color w:val="auto"/>
          <w:sz w:val="24"/>
          <w:highlight w:val="none"/>
        </w:rPr>
        <w:t>技表四</w:t>
      </w:r>
    </w:p>
    <w:p>
      <w:pPr>
        <w:pStyle w:val="134"/>
        <w:ind w:right="17" w:rightChars="8"/>
        <w:jc w:val="center"/>
        <w:outlineLvl w:val="0"/>
        <w:rPr>
          <w:color w:val="auto"/>
          <w:sz w:val="30"/>
          <w:szCs w:val="30"/>
          <w:highlight w:val="none"/>
        </w:rPr>
      </w:pPr>
      <w:r>
        <w:rPr>
          <w:rFonts w:hint="eastAsia"/>
          <w:color w:val="auto"/>
          <w:sz w:val="30"/>
          <w:szCs w:val="30"/>
          <w:highlight w:val="none"/>
        </w:rPr>
        <w:t>合同条款确认函</w:t>
      </w:r>
      <w:bookmarkEnd w:id="125"/>
      <w:bookmarkEnd w:id="126"/>
      <w:bookmarkEnd w:id="127"/>
      <w:bookmarkEnd w:id="128"/>
      <w:bookmarkEnd w:id="129"/>
    </w:p>
    <w:p>
      <w:pPr>
        <w:widowControl/>
        <w:snapToGrid w:val="0"/>
        <w:spacing w:beforeLines="50" w:afterLines="50" w:line="360" w:lineRule="auto"/>
        <w:ind w:right="17" w:rightChars="8"/>
        <w:rPr>
          <w:color w:val="auto"/>
          <w:position w:val="6"/>
          <w:szCs w:val="21"/>
          <w:highlight w:val="none"/>
        </w:rPr>
      </w:pPr>
      <w:r>
        <w:rPr>
          <w:rFonts w:hint="eastAsia"/>
          <w:color w:val="auto"/>
          <w:position w:val="6"/>
          <w:szCs w:val="21"/>
          <w:highlight w:val="none"/>
        </w:rPr>
        <w:t>致： 中国石化销售股份有限公司浙江丽水石油分公司</w:t>
      </w:r>
    </w:p>
    <w:p>
      <w:pPr>
        <w:widowControl/>
        <w:snapToGrid w:val="0"/>
        <w:spacing w:beforeLines="50" w:afterLines="50" w:line="360" w:lineRule="auto"/>
        <w:ind w:right="17" w:rightChars="8" w:firstLine="420" w:firstLineChars="200"/>
        <w:rPr>
          <w:color w:val="auto"/>
          <w:szCs w:val="21"/>
          <w:highlight w:val="none"/>
        </w:rPr>
      </w:pPr>
      <w:r>
        <w:rPr>
          <w:rFonts w:hint="eastAsia"/>
          <w:color w:val="auto"/>
          <w:szCs w:val="21"/>
          <w:highlight w:val="none"/>
        </w:rPr>
        <w:t>鉴于我们已经收到并认真研究了：</w:t>
      </w:r>
      <w:r>
        <w:rPr>
          <w:rFonts w:hint="eastAsia"/>
          <w:color w:val="auto"/>
          <w:szCs w:val="21"/>
          <w:highlight w:val="none"/>
          <w:u w:val="single"/>
        </w:rPr>
        <w:t xml:space="preserve">   </w:t>
      </w:r>
      <w:r>
        <w:rPr>
          <w:rFonts w:hint="eastAsia" w:ascii="宋体" w:hAnsi="宋体"/>
          <w:color w:val="auto"/>
          <w:szCs w:val="21"/>
          <w:highlight w:val="none"/>
          <w:u w:val="single"/>
        </w:rPr>
        <w:t>中石化丽水7座分布式光伏发电站项目</w:t>
      </w:r>
      <w:r>
        <w:rPr>
          <w:rFonts w:hint="eastAsia"/>
          <w:color w:val="auto"/>
          <w:szCs w:val="21"/>
          <w:highlight w:val="none"/>
          <w:u w:val="single"/>
        </w:rPr>
        <w:t xml:space="preserve">  </w:t>
      </w:r>
      <w:r>
        <w:rPr>
          <w:rFonts w:hint="eastAsia"/>
          <w:color w:val="auto"/>
          <w:szCs w:val="21"/>
          <w:highlight w:val="none"/>
        </w:rPr>
        <w:t>招标文件第四章《合同条款及格式》，我们承诺对《合同条款及格式》的内容全部接受，愿意按《合同条款及格式》的规定工程内容提供相关服务。</w:t>
      </w:r>
    </w:p>
    <w:p>
      <w:pPr>
        <w:widowControl/>
        <w:snapToGrid w:val="0"/>
        <w:spacing w:beforeLines="50" w:afterLines="50" w:line="360" w:lineRule="auto"/>
        <w:ind w:firstLine="420" w:firstLineChars="200"/>
        <w:rPr>
          <w:color w:val="auto"/>
          <w:szCs w:val="21"/>
          <w:highlight w:val="none"/>
        </w:rPr>
      </w:pPr>
    </w:p>
    <w:p>
      <w:pPr>
        <w:widowControl/>
        <w:snapToGrid w:val="0"/>
        <w:spacing w:beforeLines="50" w:afterLines="50" w:line="360" w:lineRule="auto"/>
        <w:ind w:firstLine="420" w:firstLineChars="200"/>
        <w:rPr>
          <w:color w:val="auto"/>
          <w:szCs w:val="21"/>
          <w:highlight w:val="none"/>
        </w:rPr>
      </w:pPr>
    </w:p>
    <w:p>
      <w:pPr>
        <w:widowControl/>
        <w:snapToGrid w:val="0"/>
        <w:spacing w:beforeLines="50" w:afterLines="50" w:line="360" w:lineRule="auto"/>
        <w:ind w:firstLine="5040"/>
        <w:rPr>
          <w:color w:val="auto"/>
          <w:szCs w:val="21"/>
          <w:highlight w:val="none"/>
        </w:rPr>
      </w:pPr>
    </w:p>
    <w:p>
      <w:pPr>
        <w:widowControl/>
        <w:snapToGrid w:val="0"/>
        <w:spacing w:beforeLines="50" w:afterLines="50" w:line="360" w:lineRule="auto"/>
        <w:ind w:firstLine="5040"/>
        <w:rPr>
          <w:color w:val="auto"/>
          <w:szCs w:val="21"/>
          <w:highlight w:val="none"/>
        </w:rPr>
      </w:pPr>
    </w:p>
    <w:p>
      <w:pPr>
        <w:widowControl/>
        <w:snapToGrid w:val="0"/>
        <w:spacing w:beforeLines="50" w:afterLines="50" w:line="360" w:lineRule="auto"/>
        <w:ind w:firstLine="4080"/>
        <w:rPr>
          <w:color w:val="auto"/>
          <w:szCs w:val="21"/>
          <w:highlight w:val="none"/>
        </w:rPr>
      </w:pPr>
      <w:r>
        <w:rPr>
          <w:rFonts w:hint="eastAsia"/>
          <w:color w:val="auto"/>
          <w:szCs w:val="21"/>
          <w:highlight w:val="none"/>
        </w:rPr>
        <w:t xml:space="preserve">    </w:t>
      </w:r>
      <w:r>
        <w:rPr>
          <w:color w:val="auto"/>
          <w:szCs w:val="21"/>
          <w:highlight w:val="none"/>
        </w:rPr>
        <w:t>投标人</w:t>
      </w:r>
      <w:r>
        <w:rPr>
          <w:rFonts w:hint="eastAsia"/>
          <w:color w:val="auto"/>
          <w:szCs w:val="21"/>
          <w:highlight w:val="none"/>
        </w:rPr>
        <w:t>（盖公章）</w:t>
      </w:r>
      <w:r>
        <w:rPr>
          <w:color w:val="auto"/>
          <w:szCs w:val="21"/>
          <w:highlight w:val="none"/>
        </w:rPr>
        <w:t>：</w:t>
      </w:r>
    </w:p>
    <w:p>
      <w:pPr>
        <w:widowControl/>
        <w:tabs>
          <w:tab w:val="left" w:pos="4080"/>
        </w:tabs>
        <w:snapToGrid w:val="0"/>
        <w:spacing w:beforeLines="50" w:afterLines="50" w:line="360" w:lineRule="auto"/>
        <w:rPr>
          <w:color w:val="auto"/>
          <w:szCs w:val="21"/>
          <w:highlight w:val="none"/>
        </w:rPr>
      </w:pPr>
      <w:r>
        <w:rPr>
          <w:rFonts w:hint="eastAsia"/>
          <w:color w:val="auto"/>
          <w:szCs w:val="21"/>
          <w:highlight w:val="none"/>
        </w:rPr>
        <w:tab/>
      </w:r>
      <w:r>
        <w:rPr>
          <w:rFonts w:hint="eastAsia"/>
          <w:color w:val="auto"/>
          <w:szCs w:val="21"/>
          <w:highlight w:val="none"/>
        </w:rPr>
        <w:t xml:space="preserve">    </w:t>
      </w:r>
      <w:r>
        <w:rPr>
          <w:color w:val="auto"/>
          <w:szCs w:val="21"/>
          <w:highlight w:val="none"/>
        </w:rPr>
        <w:t>法定代表人或授权代表</w:t>
      </w:r>
      <w:r>
        <w:rPr>
          <w:rFonts w:hint="eastAsia"/>
          <w:color w:val="auto"/>
          <w:szCs w:val="21"/>
          <w:highlight w:val="none"/>
        </w:rPr>
        <w:t>（</w:t>
      </w:r>
      <w:r>
        <w:rPr>
          <w:color w:val="auto"/>
          <w:szCs w:val="21"/>
          <w:highlight w:val="none"/>
        </w:rPr>
        <w:t>签字</w:t>
      </w:r>
      <w:r>
        <w:rPr>
          <w:rFonts w:hint="eastAsia"/>
          <w:color w:val="auto"/>
          <w:szCs w:val="21"/>
          <w:highlight w:val="none"/>
        </w:rPr>
        <w:t>或盖章）：</w:t>
      </w:r>
    </w:p>
    <w:p>
      <w:pPr>
        <w:widowControl/>
        <w:snapToGrid w:val="0"/>
        <w:spacing w:beforeLines="50" w:afterLines="50" w:line="360" w:lineRule="auto"/>
        <w:rPr>
          <w:color w:val="auto"/>
          <w:szCs w:val="21"/>
          <w:highlight w:val="none"/>
        </w:rPr>
      </w:pP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日期：</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p>
    <w:p>
      <w:pPr>
        <w:autoSpaceDE w:val="0"/>
        <w:autoSpaceDN w:val="0"/>
        <w:adjustRightInd w:val="0"/>
        <w:spacing w:line="440" w:lineRule="exact"/>
        <w:ind w:firstLine="480"/>
        <w:rPr>
          <w:color w:val="auto"/>
          <w:sz w:val="24"/>
          <w:highlight w:val="none"/>
        </w:rPr>
      </w:pPr>
    </w:p>
    <w:p>
      <w:pPr>
        <w:tabs>
          <w:tab w:val="left" w:pos="750"/>
        </w:tabs>
        <w:ind w:right="480"/>
        <w:rPr>
          <w:rFonts w:ascii="黑体" w:eastAsia="黑体"/>
          <w:color w:val="auto"/>
          <w:kern w:val="0"/>
          <w:sz w:val="30"/>
          <w:highlight w:val="none"/>
        </w:rPr>
      </w:pPr>
    </w:p>
    <w:p>
      <w:pPr>
        <w:rPr>
          <w:color w:val="auto"/>
          <w:highlight w:val="none"/>
        </w:rPr>
      </w:pPr>
    </w:p>
    <w:bookmarkEnd w:id="130"/>
    <w:sectPr>
      <w:pgSz w:w="11906" w:h="16838"/>
      <w:pgMar w:top="1361" w:right="1474" w:bottom="567" w:left="1474" w:header="851" w:footer="992" w:gutter="0"/>
      <w:cols w:space="720" w:num="1"/>
      <w:docGrid w:linePitch="312" w:charSpace="-31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icrosoft YaHei UI">
    <w:altName w:val="宋体"/>
    <w:panose1 w:val="00000000000000000000"/>
    <w:charset w:val="86"/>
    <w:family w:val="swiss"/>
    <w:pitch w:val="default"/>
    <w:sig w:usb0="00000000" w:usb1="00000000" w:usb2="00000016" w:usb3="00000000" w:csb0="0004001F" w:csb1="00000000"/>
  </w:font>
  <w:font w:name="等线 Light">
    <w:altName w:val="Arial Unicode MS"/>
    <w:panose1 w:val="00000000000000000000"/>
    <w:charset w:val="86"/>
    <w:family w:val="auto"/>
    <w:pitch w:val="default"/>
    <w:sig w:usb0="00000000" w:usb1="00000000" w:usb2="00000016" w:usb3="00000000" w:csb0="0004000F"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0000012" w:usb3="00000000" w:csb0="4002009F" w:csb1="DFD70000"/>
  </w:font>
  <w:font w:name="华文细黑">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0" w:usb3="00000000" w:csb0="00000001" w:csb1="00000000"/>
  </w:font>
  <w:font w:name="CG Times">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rFonts w:hint="eastAsia" w:ascii="宋体" w:hAnsi="宋体" w:cs="宋体"/>
        <w:b/>
        <w:bCs/>
        <w:sz w:val="21"/>
        <w:szCs w:val="21"/>
      </w:rPr>
      <w:t>招标代理：浙江建航工程咨询有限公司     电话：0578-2139703    传真：0578-2152625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6"/>
      <w:ind w:firstLine="360"/>
      <w:jc w:val="right"/>
      <w:rPr>
        <w:rFonts w:ascii="Times New Roman" w:hAnsi="Times New Roman" w:eastAsia="宋体"/>
        <w:sz w:val="18"/>
        <w:szCs w:val="18"/>
        <w:lang w:val="zh-CN"/>
      </w:rPr>
    </w:pPr>
    <w:r>
      <w:rPr>
        <w:rFonts w:ascii="Times New Roman" w:hAnsi="Times New Roman" w:eastAsia="宋体"/>
        <w:sz w:val="18"/>
        <w:szCs w:val="18"/>
        <w:lang w:val="zh-CN"/>
      </w:rPr>
      <w:fldChar w:fldCharType="begin"/>
    </w:r>
    <w:r>
      <w:rPr>
        <w:rFonts w:ascii="Times New Roman" w:hAnsi="Times New Roman" w:eastAsia="宋体"/>
        <w:sz w:val="18"/>
        <w:szCs w:val="18"/>
        <w:lang w:val="zh-CN"/>
      </w:rPr>
      <w:instrText xml:space="preserve">PAGE   \* MERGEFORMAT</w:instrText>
    </w:r>
    <w:r>
      <w:rPr>
        <w:rFonts w:ascii="Times New Roman" w:hAnsi="Times New Roman" w:eastAsia="宋体"/>
        <w:sz w:val="18"/>
        <w:szCs w:val="18"/>
        <w:lang w:val="zh-CN"/>
      </w:rPr>
      <w:fldChar w:fldCharType="separate"/>
    </w:r>
    <w:r>
      <w:rPr>
        <w:rFonts w:ascii="Times New Roman" w:hAnsi="Times New Roman" w:eastAsia="宋体"/>
        <w:sz w:val="18"/>
        <w:szCs w:val="18"/>
        <w:lang w:val="zh-CN"/>
      </w:rPr>
      <w:t>39</w:t>
    </w:r>
    <w:r>
      <w:rPr>
        <w:rFonts w:ascii="Times New Roman" w:hAnsi="Times New Roman" w:eastAsia="宋体"/>
        <w:sz w:val="18"/>
        <w:szCs w:val="18"/>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right" w:y="1"/>
      <w:rPr>
        <w:rStyle w:val="52"/>
      </w:rPr>
    </w:pPr>
    <w:r>
      <w:rPr>
        <w:rStyle w:val="52"/>
      </w:rPr>
      <w:fldChar w:fldCharType="begin"/>
    </w:r>
    <w:r>
      <w:rPr>
        <w:rStyle w:val="52"/>
      </w:rPr>
      <w:instrText xml:space="preserve">PAGE  </w:instrText>
    </w:r>
    <w:r>
      <w:rPr>
        <w:rStyle w:val="52"/>
      </w:rPr>
      <w:fldChar w:fldCharType="separate"/>
    </w:r>
    <w:r>
      <w:rPr>
        <w:rStyle w:val="52"/>
      </w:rPr>
      <w:t>44</w:t>
    </w:r>
    <w:r>
      <w:rPr>
        <w:rStyle w:val="52"/>
      </w:rPr>
      <w:fldChar w:fldCharType="end"/>
    </w:r>
  </w:p>
  <w:p>
    <w:pPr>
      <w:pStyle w:val="30"/>
      <w:ind w:right="360"/>
    </w:pPr>
    <w:r>
      <w:rPr>
        <w:rFonts w:hint="eastAsia" w:ascii="宋体" w:hAnsi="宋体"/>
      </w:rPr>
      <w:t xml:space="preserve">中国石化销售股份有限公司浙江丽水分公司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fldChar w:fldCharType="begin"/>
    </w:r>
    <w:r>
      <w:instrText xml:space="preserve"> PAGE   \* MERGEFORMAT </w:instrText>
    </w:r>
    <w:r>
      <w:fldChar w:fldCharType="separate"/>
    </w:r>
    <w:r>
      <w:rPr>
        <w:lang w:val="zh-CN"/>
      </w:rPr>
      <w:t>68</w:t>
    </w:r>
    <w:r>
      <w:rPr>
        <w:lang w:val="zh-CN"/>
      </w:rPr>
      <w:fldChar w:fldCharType="end"/>
    </w:r>
  </w:p>
  <w:p>
    <w:pPr>
      <w:pStyle w:val="3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left"/>
      <w:rPr>
        <w:sz w:val="21"/>
        <w:szCs w:val="21"/>
      </w:rPr>
    </w:pPr>
    <w:r>
      <w:rPr>
        <w:rFonts w:hint="eastAsia" w:ascii="宋体" w:hAnsi="宋体" w:cs="宋体"/>
        <w:b/>
        <w:bCs/>
        <w:sz w:val="21"/>
        <w:szCs w:val="21"/>
      </w:rPr>
      <w:t>中石化丽水7座分布式光伏发电站项目招标文件                             第</w:t>
    </w:r>
    <w:r>
      <w:rPr>
        <w:rFonts w:ascii="宋体" w:hAnsi="宋体" w:cs="宋体"/>
        <w:b/>
        <w:bCs/>
        <w:sz w:val="21"/>
        <w:szCs w:val="21"/>
      </w:rPr>
      <w:fldChar w:fldCharType="begin"/>
    </w:r>
    <w:r>
      <w:rPr>
        <w:rFonts w:ascii="宋体" w:hAnsi="宋体" w:cs="宋体"/>
        <w:b/>
        <w:bCs/>
        <w:sz w:val="21"/>
        <w:szCs w:val="21"/>
      </w:rPr>
      <w:instrText xml:space="preserve">PAGE   \* MERGEFORMAT</w:instrText>
    </w:r>
    <w:r>
      <w:rPr>
        <w:rFonts w:ascii="宋体" w:hAnsi="宋体" w:cs="宋体"/>
        <w:b/>
        <w:bCs/>
        <w:sz w:val="21"/>
        <w:szCs w:val="21"/>
      </w:rPr>
      <w:fldChar w:fldCharType="separate"/>
    </w:r>
    <w:r>
      <w:rPr>
        <w:rFonts w:ascii="宋体" w:hAnsi="宋体" w:cs="宋体"/>
        <w:b/>
        <w:bCs/>
        <w:sz w:val="21"/>
        <w:szCs w:val="21"/>
        <w:lang w:val="zh-CN"/>
      </w:rPr>
      <w:t>4</w:t>
    </w:r>
    <w:r>
      <w:rPr>
        <w:rFonts w:ascii="宋体" w:hAnsi="宋体" w:cs="宋体"/>
        <w:b/>
        <w:bCs/>
        <w:sz w:val="21"/>
        <w:szCs w:val="21"/>
      </w:rPr>
      <w:fldChar w:fldCharType="end"/>
    </w:r>
    <w:r>
      <w:rPr>
        <w:rFonts w:hint="eastAsia" w:ascii="宋体" w:hAnsi="宋体" w:cs="宋体"/>
        <w:b/>
        <w:bCs/>
        <w:sz w:val="21"/>
        <w:szCs w:val="21"/>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pStyle w:val="221"/>
      <w:suff w:val="nothing"/>
      <w:lvlText w:val="（%1）"/>
      <w:lvlJc w:val="left"/>
    </w:lvl>
  </w:abstractNum>
  <w:abstractNum w:abstractNumId="1">
    <w:nsid w:val="00000005"/>
    <w:multiLevelType w:val="multilevel"/>
    <w:tmpl w:val="0000000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00000007"/>
    <w:multiLevelType w:val="multilevel"/>
    <w:tmpl w:val="0000000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0000011"/>
    <w:multiLevelType w:val="singleLevel"/>
    <w:tmpl w:val="00000011"/>
    <w:lvl w:ilvl="0" w:tentative="0">
      <w:start w:val="1"/>
      <w:numFmt w:val="decimal"/>
      <w:pStyle w:val="265"/>
      <w:suff w:val="nothing"/>
      <w:lvlText w:val="%1、"/>
      <w:lvlJc w:val="left"/>
    </w:lvl>
  </w:abstractNum>
  <w:abstractNum w:abstractNumId="4">
    <w:nsid w:val="00000015"/>
    <w:multiLevelType w:val="singleLevel"/>
    <w:tmpl w:val="00000015"/>
    <w:lvl w:ilvl="0" w:tentative="0">
      <w:start w:val="1"/>
      <w:numFmt w:val="chineseCounting"/>
      <w:pStyle w:val="229"/>
      <w:suff w:val="nothing"/>
      <w:lvlText w:val="（%1）"/>
      <w:lvlJc w:val="left"/>
    </w:lvl>
  </w:abstractNum>
  <w:abstractNum w:abstractNumId="5">
    <w:nsid w:val="301F5202"/>
    <w:multiLevelType w:val="multilevel"/>
    <w:tmpl w:val="301F5202"/>
    <w:lvl w:ilvl="0" w:tentative="0">
      <w:start w:val="1"/>
      <w:numFmt w:val="decimal"/>
      <w:lvlText w:val="第%1条"/>
      <w:lvlJc w:val="left"/>
      <w:pPr>
        <w:ind w:left="851" w:firstLine="0"/>
      </w:pPr>
    </w:lvl>
    <w:lvl w:ilvl="1" w:tentative="0">
      <w:start w:val="1"/>
      <w:numFmt w:val="decimal"/>
      <w:lvlText w:val="%1.%2"/>
      <w:lvlJc w:val="left"/>
      <w:pPr>
        <w:ind w:left="991" w:hanging="567"/>
      </w:pPr>
    </w:lvl>
    <w:lvl w:ilvl="2" w:tentative="0">
      <w:start w:val="1"/>
      <w:numFmt w:val="decimal"/>
      <w:pStyle w:val="255"/>
      <w:lvlText w:val="%1.%2.%3"/>
      <w:lvlJc w:val="left"/>
      <w:pPr>
        <w:ind w:left="2835" w:hanging="567"/>
      </w:pPr>
    </w:lvl>
    <w:lvl w:ilvl="3" w:tentative="0">
      <w:start w:val="1"/>
      <w:numFmt w:val="decimal"/>
      <w:lvlText w:val="%1.%2.%3.%4"/>
      <w:lvlJc w:val="left"/>
      <w:pPr>
        <w:ind w:left="1983" w:hanging="708"/>
      </w:pPr>
    </w:lvl>
    <w:lvl w:ilvl="4" w:tentative="0">
      <w:start w:val="1"/>
      <w:numFmt w:val="decimal"/>
      <w:lvlText w:val="%1.%2.%3.%4.%5"/>
      <w:lvlJc w:val="left"/>
      <w:pPr>
        <w:ind w:left="2550" w:hanging="850"/>
      </w:pPr>
    </w:lvl>
    <w:lvl w:ilvl="5" w:tentative="0">
      <w:start w:val="1"/>
      <w:numFmt w:val="decimal"/>
      <w:lvlText w:val="%1.%2.%3.%4.%5.%6"/>
      <w:lvlJc w:val="left"/>
      <w:pPr>
        <w:ind w:left="3259" w:hanging="1134"/>
      </w:pPr>
    </w:lvl>
    <w:lvl w:ilvl="6" w:tentative="0">
      <w:start w:val="1"/>
      <w:numFmt w:val="decimal"/>
      <w:lvlText w:val="%1.%2.%3.%4.%5.%6.%7"/>
      <w:lvlJc w:val="left"/>
      <w:pPr>
        <w:ind w:left="3826" w:hanging="1276"/>
      </w:pPr>
    </w:lvl>
    <w:lvl w:ilvl="7" w:tentative="0">
      <w:start w:val="1"/>
      <w:numFmt w:val="decimal"/>
      <w:lvlText w:val="%1.%2.%3.%4.%5.%6.%7.%8"/>
      <w:lvlJc w:val="left"/>
      <w:pPr>
        <w:ind w:left="4393" w:hanging="1418"/>
      </w:pPr>
    </w:lvl>
    <w:lvl w:ilvl="8" w:tentative="0">
      <w:start w:val="1"/>
      <w:numFmt w:val="decimal"/>
      <w:lvlText w:val="%1.%2.%3.%4.%5.%6.%7.%8.%9"/>
      <w:lvlJc w:val="left"/>
      <w:pPr>
        <w:ind w:left="5101" w:hanging="1700"/>
      </w:pPr>
    </w:lvl>
  </w:abstractNum>
  <w:abstractNum w:abstractNumId="6">
    <w:nsid w:val="3AA800C6"/>
    <w:multiLevelType w:val="multilevel"/>
    <w:tmpl w:val="3AA800C6"/>
    <w:lvl w:ilvl="0" w:tentative="0">
      <w:start w:val="1"/>
      <w:numFmt w:val="decimal"/>
      <w:pStyle w:val="261"/>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pStyle w:val="251"/>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7">
    <w:nsid w:val="431F3691"/>
    <w:multiLevelType w:val="multilevel"/>
    <w:tmpl w:val="431F3691"/>
    <w:lvl w:ilvl="0" w:tentative="0">
      <w:start w:val="1"/>
      <w:numFmt w:val="decimalEnclosedCircle"/>
      <w:pStyle w:val="240"/>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4C5B010F"/>
    <w:multiLevelType w:val="multilevel"/>
    <w:tmpl w:val="4C5B010F"/>
    <w:lvl w:ilvl="0" w:tentative="0">
      <w:start w:val="2"/>
      <w:numFmt w:val="japaneseCounting"/>
      <w:lvlText w:val="%1、"/>
      <w:lvlJc w:val="left"/>
      <w:pPr>
        <w:ind w:left="720"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F66AEEE"/>
    <w:multiLevelType w:val="singleLevel"/>
    <w:tmpl w:val="4F66AEEE"/>
    <w:lvl w:ilvl="0" w:tentative="0">
      <w:start w:val="1"/>
      <w:numFmt w:val="bullet"/>
      <w:pStyle w:val="259"/>
      <w:lvlText w:val=""/>
      <w:lvlJc w:val="left"/>
      <w:pPr>
        <w:tabs>
          <w:tab w:val="left" w:pos="780"/>
        </w:tabs>
        <w:ind w:left="780" w:hanging="360"/>
      </w:pPr>
      <w:rPr>
        <w:rFonts w:hint="default" w:ascii="Wingdings" w:hAnsi="Wingdings"/>
      </w:rPr>
    </w:lvl>
  </w:abstractNum>
  <w:abstractNum w:abstractNumId="10">
    <w:nsid w:val="57F71685"/>
    <w:multiLevelType w:val="singleLevel"/>
    <w:tmpl w:val="57F71685"/>
    <w:lvl w:ilvl="0" w:tentative="0">
      <w:start w:val="2"/>
      <w:numFmt w:val="chineseCounting"/>
      <w:suff w:val="nothing"/>
      <w:lvlText w:val="（%1）"/>
      <w:lvlJc w:val="left"/>
    </w:lvl>
  </w:abstractNum>
  <w:abstractNum w:abstractNumId="11">
    <w:nsid w:val="57F8F2BA"/>
    <w:multiLevelType w:val="singleLevel"/>
    <w:tmpl w:val="57F8F2BA"/>
    <w:lvl w:ilvl="0" w:tentative="0">
      <w:start w:val="2"/>
      <w:numFmt w:val="chineseCounting"/>
      <w:suff w:val="nothing"/>
      <w:lvlText w:val="%1、"/>
      <w:lvlJc w:val="left"/>
    </w:lvl>
  </w:abstractNum>
  <w:abstractNum w:abstractNumId="12">
    <w:nsid w:val="57F8FEF0"/>
    <w:multiLevelType w:val="singleLevel"/>
    <w:tmpl w:val="57F8FEF0"/>
    <w:lvl w:ilvl="0" w:tentative="0">
      <w:start w:val="1"/>
      <w:numFmt w:val="decimal"/>
      <w:suff w:val="nothing"/>
      <w:lvlText w:val="%1."/>
      <w:lvlJc w:val="left"/>
    </w:lvl>
  </w:abstractNum>
  <w:abstractNum w:abstractNumId="13">
    <w:nsid w:val="57F91185"/>
    <w:multiLevelType w:val="singleLevel"/>
    <w:tmpl w:val="57F91185"/>
    <w:lvl w:ilvl="0" w:tentative="0">
      <w:start w:val="3"/>
      <w:numFmt w:val="decimal"/>
      <w:suff w:val="nothing"/>
      <w:lvlText w:val="%1．"/>
      <w:lvlJc w:val="left"/>
    </w:lvl>
  </w:abstractNum>
  <w:abstractNum w:abstractNumId="14">
    <w:nsid w:val="5DB23153"/>
    <w:multiLevelType w:val="multilevel"/>
    <w:tmpl w:val="5DB23153"/>
    <w:lvl w:ilvl="0" w:tentative="0">
      <w:start w:val="1"/>
      <w:numFmt w:val="japaneseCounting"/>
      <w:pStyle w:val="231"/>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609D2FF1"/>
    <w:multiLevelType w:val="multilevel"/>
    <w:tmpl w:val="609D2FF1"/>
    <w:lvl w:ilvl="0" w:tentative="0">
      <w:start w:val="1"/>
      <w:numFmt w:val="decimalEnclosedCircle"/>
      <w:pStyle w:val="258"/>
      <w:lvlText w:val="%1"/>
      <w:lvlJc w:val="left"/>
      <w:pPr>
        <w:ind w:left="360" w:hanging="360"/>
      </w:pPr>
      <w:rPr>
        <w:rFonts w:hint="default"/>
      </w:rPr>
    </w:lvl>
    <w:lvl w:ilvl="1" w:tentative="0">
      <w:start w:val="1"/>
      <w:numFmt w:val="lowerLetter"/>
      <w:pStyle w:val="249"/>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2663249"/>
    <w:multiLevelType w:val="multilevel"/>
    <w:tmpl w:val="62663249"/>
    <w:lvl w:ilvl="0" w:tentative="0">
      <w:start w:val="4"/>
      <w:numFmt w:val="japaneseCounting"/>
      <w:lvlText w:val="第%1章"/>
      <w:lvlJc w:val="left"/>
      <w:pPr>
        <w:tabs>
          <w:tab w:val="left" w:pos="870"/>
        </w:tabs>
        <w:ind w:left="870" w:hanging="870"/>
      </w:pPr>
    </w:lvl>
    <w:lvl w:ilvl="1" w:tentative="0">
      <w:start w:val="1"/>
      <w:numFmt w:val="japaneseCounting"/>
      <w:lvlText w:val="%2、"/>
      <w:lvlJc w:val="left"/>
      <w:pPr>
        <w:tabs>
          <w:tab w:val="left" w:pos="855"/>
        </w:tabs>
        <w:ind w:left="855" w:hanging="435"/>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6E87019F"/>
    <w:multiLevelType w:val="multilevel"/>
    <w:tmpl w:val="6E87019F"/>
    <w:lvl w:ilvl="0" w:tentative="0">
      <w:start w:val="1"/>
      <w:numFmt w:val="chineseCountingThousand"/>
      <w:pStyle w:val="264"/>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8">
    <w:nsid w:val="70B81ACF"/>
    <w:multiLevelType w:val="multilevel"/>
    <w:tmpl w:val="70B81ACF"/>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9">
    <w:nsid w:val="72877704"/>
    <w:multiLevelType w:val="multilevel"/>
    <w:tmpl w:val="72877704"/>
    <w:lvl w:ilvl="0" w:tentative="0">
      <w:start w:val="1"/>
      <w:numFmt w:val="japaneseCounting"/>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0">
    <w:nsid w:val="72DF347D"/>
    <w:multiLevelType w:val="multilevel"/>
    <w:tmpl w:val="72DF347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pStyle w:val="257"/>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113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3EF57A5"/>
    <w:multiLevelType w:val="multilevel"/>
    <w:tmpl w:val="73EF57A5"/>
    <w:lvl w:ilvl="0" w:tentative="0">
      <w:start w:val="3"/>
      <w:numFmt w:val="japaneseCounting"/>
      <w:pStyle w:val="252"/>
      <w:lvlText w:val="第%1章"/>
      <w:lvlJc w:val="left"/>
      <w:pPr>
        <w:tabs>
          <w:tab w:val="left" w:pos="1440"/>
        </w:tabs>
        <w:ind w:left="1440" w:hanging="14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7A310445"/>
    <w:multiLevelType w:val="multilevel"/>
    <w:tmpl w:val="7A310445"/>
    <w:lvl w:ilvl="0" w:tentative="0">
      <w:start w:val="1"/>
      <w:numFmt w:val="japaneseCounting"/>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pStyle w:val="247"/>
      <w:lvlText w:val="%3."/>
      <w:lvlJc w:val="right"/>
      <w:pPr>
        <w:tabs>
          <w:tab w:val="left" w:pos="1740"/>
        </w:tabs>
        <w:ind w:left="1740" w:hanging="420"/>
      </w:pPr>
    </w:lvl>
    <w:lvl w:ilvl="3" w:tentative="0">
      <w:start w:val="1"/>
      <w:numFmt w:val="decimal"/>
      <w:pStyle w:val="235"/>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4"/>
  </w:num>
  <w:num w:numId="3">
    <w:abstractNumId w:val="14"/>
  </w:num>
  <w:num w:numId="4">
    <w:abstractNumId w:val="22"/>
  </w:num>
  <w:num w:numId="5">
    <w:abstractNumId w:val="7"/>
  </w:num>
  <w:num w:numId="6">
    <w:abstractNumId w:val="15"/>
  </w:num>
  <w:num w:numId="7">
    <w:abstractNumId w:val="6"/>
  </w:num>
  <w:num w:numId="8">
    <w:abstractNumId w:val="21"/>
  </w:num>
  <w:num w:numId="9">
    <w:abstractNumId w:val="5"/>
  </w:num>
  <w:num w:numId="10">
    <w:abstractNumId w:val="20"/>
  </w:num>
  <w:num w:numId="11">
    <w:abstractNumId w:val="9"/>
  </w:num>
  <w:num w:numId="12">
    <w:abstractNumId w:val="17"/>
  </w:num>
  <w:num w:numId="13">
    <w:abstractNumId w:val="3"/>
  </w:num>
  <w:num w:numId="14">
    <w:abstractNumId w:val="10"/>
  </w:num>
  <w:num w:numId="15">
    <w:abstractNumId w:val="18"/>
  </w:num>
  <w:num w:numId="16">
    <w:abstractNumId w:val="12"/>
  </w:num>
  <w:num w:numId="17">
    <w:abstractNumId w:val="19"/>
  </w:num>
  <w:num w:numId="18">
    <w:abstractNumId w:val="13"/>
  </w:num>
  <w:num w:numId="19">
    <w:abstractNumId w:val="1"/>
  </w:num>
  <w:num w:numId="20">
    <w:abstractNumId w:val="2"/>
  </w:num>
  <w:num w:numId="2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22FE0"/>
    <w:rsid w:val="0006073D"/>
    <w:rsid w:val="000A53D7"/>
    <w:rsid w:val="000B525E"/>
    <w:rsid w:val="000D21AE"/>
    <w:rsid w:val="00102A5D"/>
    <w:rsid w:val="00122FE0"/>
    <w:rsid w:val="00125A74"/>
    <w:rsid w:val="00184011"/>
    <w:rsid w:val="001B3095"/>
    <w:rsid w:val="002E5AD0"/>
    <w:rsid w:val="003131F9"/>
    <w:rsid w:val="00317336"/>
    <w:rsid w:val="003341DA"/>
    <w:rsid w:val="003E6C47"/>
    <w:rsid w:val="003F6C51"/>
    <w:rsid w:val="00421567"/>
    <w:rsid w:val="004B6D45"/>
    <w:rsid w:val="00583A54"/>
    <w:rsid w:val="00584C61"/>
    <w:rsid w:val="00624AF4"/>
    <w:rsid w:val="006313B1"/>
    <w:rsid w:val="00664755"/>
    <w:rsid w:val="006A2070"/>
    <w:rsid w:val="006C5970"/>
    <w:rsid w:val="006D4EF0"/>
    <w:rsid w:val="007323A9"/>
    <w:rsid w:val="0075297F"/>
    <w:rsid w:val="0077536C"/>
    <w:rsid w:val="0085287C"/>
    <w:rsid w:val="00884E35"/>
    <w:rsid w:val="008C355E"/>
    <w:rsid w:val="00900B28"/>
    <w:rsid w:val="009A13E8"/>
    <w:rsid w:val="009C1B95"/>
    <w:rsid w:val="009C6520"/>
    <w:rsid w:val="009F06C8"/>
    <w:rsid w:val="00A04C45"/>
    <w:rsid w:val="00A3155D"/>
    <w:rsid w:val="00A8444F"/>
    <w:rsid w:val="00A91439"/>
    <w:rsid w:val="00B27671"/>
    <w:rsid w:val="00BC621A"/>
    <w:rsid w:val="00BD7690"/>
    <w:rsid w:val="00BF62B3"/>
    <w:rsid w:val="00C6361B"/>
    <w:rsid w:val="00CE1486"/>
    <w:rsid w:val="00D736F5"/>
    <w:rsid w:val="00D75EEF"/>
    <w:rsid w:val="00DB1451"/>
    <w:rsid w:val="00DD74FB"/>
    <w:rsid w:val="00E2017B"/>
    <w:rsid w:val="00E66E9B"/>
    <w:rsid w:val="00F2253E"/>
    <w:rsid w:val="00FA1762"/>
    <w:rsid w:val="6BF35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nhideWhenUsed="0" w:uiPriority="0" w:name="index 2"/>
    <w:lsdException w:unhideWhenUsed="0" w:uiPriority="0" w:name="index 3"/>
    <w:lsdException w:unhideWhenUsed="0" w:uiPriority="0" w:name="index 4"/>
    <w:lsdException w:unhideWhenUsed="0" w:uiPriority="0" w:semiHidden="0" w:name="index 5"/>
    <w:lsdException w:unhideWhenUsed="0" w:uiPriority="0" w:name="index 6"/>
    <w:lsdException w:unhideWhenUsed="0" w:uiPriority="0" w:name="index 7"/>
    <w:lsdException w:unhideWhenUsed="0" w:uiPriority="0" w:name="index 8"/>
    <w:lsdException w:unhideWhenUsed="0"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name="index heading"/>
    <w:lsdException w:qFormat="1" w:unhideWhenUsed="0" w:uiPriority="0" w:semiHidden="0" w:name="caption"/>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7"/>
    <w:qFormat/>
    <w:uiPriority w:val="9"/>
    <w:pPr>
      <w:keepNext/>
      <w:keepLines/>
      <w:spacing w:before="340" w:after="120" w:line="360" w:lineRule="auto"/>
      <w:jc w:val="center"/>
      <w:outlineLvl w:val="0"/>
    </w:pPr>
    <w:rPr>
      <w:rFonts w:ascii="宋体" w:hAnsi="宋体"/>
      <w:b/>
      <w:kern w:val="44"/>
      <w:sz w:val="36"/>
      <w:szCs w:val="32"/>
    </w:rPr>
  </w:style>
  <w:style w:type="paragraph" w:styleId="3">
    <w:name w:val="heading 2"/>
    <w:basedOn w:val="1"/>
    <w:next w:val="1"/>
    <w:link w:val="68"/>
    <w:qFormat/>
    <w:uiPriority w:val="9"/>
    <w:pPr>
      <w:keepNext/>
      <w:keepLines/>
      <w:spacing w:before="260" w:after="260"/>
      <w:jc w:val="center"/>
      <w:outlineLvl w:val="1"/>
    </w:pPr>
    <w:rPr>
      <w:rFonts w:ascii="宋体" w:hAnsi="宋体"/>
      <w:b/>
      <w:sz w:val="32"/>
      <w:szCs w:val="32"/>
    </w:rPr>
  </w:style>
  <w:style w:type="paragraph" w:styleId="4">
    <w:name w:val="heading 3"/>
    <w:basedOn w:val="1"/>
    <w:next w:val="5"/>
    <w:link w:val="69"/>
    <w:qFormat/>
    <w:uiPriority w:val="0"/>
    <w:pPr>
      <w:keepNext/>
      <w:keepLines/>
      <w:spacing w:before="260" w:after="260" w:line="416" w:lineRule="auto"/>
      <w:outlineLvl w:val="2"/>
    </w:pPr>
    <w:rPr>
      <w:b/>
      <w:bCs/>
      <w:sz w:val="32"/>
      <w:szCs w:val="32"/>
    </w:rPr>
  </w:style>
  <w:style w:type="paragraph" w:styleId="6">
    <w:name w:val="heading 4"/>
    <w:basedOn w:val="1"/>
    <w:next w:val="1"/>
    <w:link w:val="70"/>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71"/>
    <w:qFormat/>
    <w:uiPriority w:val="0"/>
    <w:pPr>
      <w:keepNext/>
      <w:keepLines/>
      <w:spacing w:before="280" w:after="290" w:line="376" w:lineRule="auto"/>
      <w:outlineLvl w:val="4"/>
    </w:pPr>
    <w:rPr>
      <w:b/>
      <w:bCs/>
      <w:sz w:val="28"/>
      <w:szCs w:val="28"/>
    </w:rPr>
  </w:style>
  <w:style w:type="paragraph" w:styleId="8">
    <w:name w:val="heading 6"/>
    <w:basedOn w:val="1"/>
    <w:next w:val="1"/>
    <w:link w:val="72"/>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73"/>
    <w:qFormat/>
    <w:uiPriority w:val="0"/>
    <w:pPr>
      <w:keepNext/>
      <w:keepLines/>
      <w:spacing w:before="240" w:after="64" w:line="320" w:lineRule="auto"/>
      <w:outlineLvl w:val="6"/>
    </w:pPr>
    <w:rPr>
      <w:b/>
      <w:bCs/>
      <w:sz w:val="24"/>
    </w:rPr>
  </w:style>
  <w:style w:type="paragraph" w:styleId="10">
    <w:name w:val="heading 8"/>
    <w:basedOn w:val="1"/>
    <w:next w:val="1"/>
    <w:link w:val="74"/>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75"/>
    <w:qFormat/>
    <w:uiPriority w:val="0"/>
    <w:pPr>
      <w:keepNext/>
      <w:keepLines/>
      <w:spacing w:before="240" w:after="64" w:line="320" w:lineRule="auto"/>
      <w:outlineLvl w:val="8"/>
    </w:pPr>
    <w:rPr>
      <w:rFonts w:ascii="Arial" w:hAnsi="Arial" w:eastAsia="黑体"/>
      <w:szCs w:val="21"/>
    </w:rPr>
  </w:style>
  <w:style w:type="character" w:default="1" w:styleId="50">
    <w:name w:val="Default Paragraph Font"/>
    <w:semiHidden/>
    <w:unhideWhenUsed/>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iPriority w:val="0"/>
    <w:pPr>
      <w:ind w:firstLine="420" w:firstLineChars="200"/>
    </w:pPr>
  </w:style>
  <w:style w:type="paragraph" w:styleId="12">
    <w:name w:val="index 8"/>
    <w:basedOn w:val="1"/>
    <w:next w:val="1"/>
    <w:semiHidden/>
    <w:uiPriority w:val="0"/>
    <w:pPr>
      <w:ind w:left="1400" w:leftChars="1400"/>
    </w:p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index 5"/>
    <w:basedOn w:val="1"/>
    <w:next w:val="1"/>
    <w:uiPriority w:val="0"/>
    <w:pPr>
      <w:ind w:left="800" w:leftChars="800"/>
    </w:pPr>
  </w:style>
  <w:style w:type="paragraph" w:styleId="15">
    <w:name w:val="Document Map"/>
    <w:basedOn w:val="1"/>
    <w:link w:val="78"/>
    <w:qFormat/>
    <w:uiPriority w:val="99"/>
    <w:pPr>
      <w:shd w:val="clear" w:color="auto" w:fill="000080"/>
    </w:pPr>
    <w:rPr>
      <w:kern w:val="0"/>
      <w:sz w:val="20"/>
      <w:shd w:val="clear" w:color="auto" w:fill="000080"/>
    </w:rPr>
  </w:style>
  <w:style w:type="paragraph" w:styleId="16">
    <w:name w:val="annotation text"/>
    <w:basedOn w:val="1"/>
    <w:link w:val="80"/>
    <w:qFormat/>
    <w:uiPriority w:val="99"/>
    <w:pPr>
      <w:jc w:val="left"/>
    </w:pPr>
    <w:rPr>
      <w:rFonts w:ascii="宋体" w:hAnsi="Courier New"/>
      <w:szCs w:val="20"/>
    </w:rPr>
  </w:style>
  <w:style w:type="paragraph" w:styleId="17">
    <w:name w:val="index 6"/>
    <w:basedOn w:val="1"/>
    <w:next w:val="1"/>
    <w:semiHidden/>
    <w:uiPriority w:val="0"/>
    <w:pPr>
      <w:ind w:left="1000" w:leftChars="1000"/>
    </w:pPr>
  </w:style>
  <w:style w:type="paragraph" w:styleId="18">
    <w:name w:val="Salutation"/>
    <w:basedOn w:val="1"/>
    <w:next w:val="1"/>
    <w:link w:val="159"/>
    <w:uiPriority w:val="0"/>
    <w:rPr>
      <w:rFonts w:ascii="长城仿宋" w:hAnsi="宋体" w:eastAsia="长城仿宋"/>
      <w:sz w:val="28"/>
    </w:rPr>
  </w:style>
  <w:style w:type="paragraph" w:styleId="19">
    <w:name w:val="Body Text 3"/>
    <w:basedOn w:val="1"/>
    <w:link w:val="186"/>
    <w:qFormat/>
    <w:uiPriority w:val="99"/>
    <w:pPr>
      <w:tabs>
        <w:tab w:val="left" w:pos="1080"/>
      </w:tabs>
    </w:pPr>
    <w:rPr>
      <w:rFonts w:eastAsia="仿宋_GB2312"/>
      <w:sz w:val="28"/>
    </w:rPr>
  </w:style>
  <w:style w:type="paragraph" w:styleId="20">
    <w:name w:val="Body Text"/>
    <w:basedOn w:val="1"/>
    <w:link w:val="83"/>
    <w:qFormat/>
    <w:uiPriority w:val="99"/>
    <w:pPr>
      <w:spacing w:line="340" w:lineRule="atLeast"/>
    </w:pPr>
    <w:rPr>
      <w:sz w:val="24"/>
    </w:rPr>
  </w:style>
  <w:style w:type="paragraph" w:styleId="21">
    <w:name w:val="Body Text Indent"/>
    <w:basedOn w:val="1"/>
    <w:link w:val="164"/>
    <w:uiPriority w:val="0"/>
    <w:pPr>
      <w:spacing w:line="460" w:lineRule="exact"/>
      <w:ind w:firstLine="480" w:firstLineChars="200"/>
      <w:outlineLvl w:val="0"/>
    </w:pPr>
    <w:rPr>
      <w:sz w:val="24"/>
      <w:szCs w:val="20"/>
    </w:rPr>
  </w:style>
  <w:style w:type="paragraph" w:styleId="22">
    <w:name w:val="Block Text"/>
    <w:basedOn w:val="1"/>
    <w:uiPriority w:val="0"/>
    <w:pPr>
      <w:spacing w:line="460" w:lineRule="exact"/>
      <w:ind w:left="45" w:right="113" w:firstLine="495"/>
    </w:pPr>
    <w:rPr>
      <w:rFonts w:ascii="仿宋_GB2312" w:hAnsi="宋体" w:eastAsia="仿宋_GB2312"/>
      <w:sz w:val="24"/>
      <w:szCs w:val="20"/>
    </w:rPr>
  </w:style>
  <w:style w:type="paragraph" w:styleId="23">
    <w:name w:val="List Bullet 2"/>
    <w:basedOn w:val="1"/>
    <w:unhideWhenUsed/>
    <w:uiPriority w:val="0"/>
    <w:pPr>
      <w:tabs>
        <w:tab w:val="left" w:pos="780"/>
      </w:tabs>
      <w:ind w:left="780" w:hanging="360"/>
    </w:pPr>
  </w:style>
  <w:style w:type="paragraph" w:styleId="24">
    <w:name w:val="index 4"/>
    <w:basedOn w:val="1"/>
    <w:next w:val="1"/>
    <w:semiHidden/>
    <w:uiPriority w:val="0"/>
    <w:pPr>
      <w:ind w:left="600" w:leftChars="600"/>
    </w:pPr>
  </w:style>
  <w:style w:type="paragraph" w:styleId="25">
    <w:name w:val="Plain Text"/>
    <w:basedOn w:val="1"/>
    <w:link w:val="86"/>
    <w:qFormat/>
    <w:uiPriority w:val="0"/>
    <w:rPr>
      <w:rFonts w:ascii="宋体" w:hAnsi="Courier New"/>
      <w:szCs w:val="20"/>
    </w:rPr>
  </w:style>
  <w:style w:type="paragraph" w:styleId="26">
    <w:name w:val="index 3"/>
    <w:basedOn w:val="1"/>
    <w:next w:val="1"/>
    <w:semiHidden/>
    <w:uiPriority w:val="0"/>
    <w:pPr>
      <w:ind w:left="400" w:leftChars="400"/>
    </w:pPr>
  </w:style>
  <w:style w:type="paragraph" w:styleId="27">
    <w:name w:val="Date"/>
    <w:basedOn w:val="1"/>
    <w:next w:val="1"/>
    <w:link w:val="183"/>
    <w:qFormat/>
    <w:uiPriority w:val="0"/>
    <w:pPr>
      <w:spacing w:line="360" w:lineRule="auto"/>
      <w:ind w:firstLine="567"/>
    </w:pPr>
    <w:rPr>
      <w:color w:val="000000"/>
      <w:szCs w:val="20"/>
    </w:rPr>
  </w:style>
  <w:style w:type="paragraph" w:styleId="28">
    <w:name w:val="Body Text Indent 2"/>
    <w:basedOn w:val="1"/>
    <w:link w:val="204"/>
    <w:uiPriority w:val="0"/>
    <w:pPr>
      <w:spacing w:line="460" w:lineRule="exact"/>
      <w:ind w:firstLine="480" w:firstLineChars="200"/>
      <w:outlineLvl w:val="0"/>
    </w:pPr>
    <w:rPr>
      <w:sz w:val="24"/>
      <w:szCs w:val="20"/>
      <w:u w:val="single"/>
    </w:rPr>
  </w:style>
  <w:style w:type="paragraph" w:styleId="29">
    <w:name w:val="Balloon Text"/>
    <w:basedOn w:val="1"/>
    <w:link w:val="90"/>
    <w:qFormat/>
    <w:uiPriority w:val="99"/>
    <w:rPr>
      <w:sz w:val="18"/>
      <w:szCs w:val="18"/>
    </w:rPr>
  </w:style>
  <w:style w:type="paragraph" w:styleId="30">
    <w:name w:val="footer"/>
    <w:basedOn w:val="1"/>
    <w:link w:val="92"/>
    <w:qFormat/>
    <w:uiPriority w:val="99"/>
    <w:pPr>
      <w:tabs>
        <w:tab w:val="center" w:pos="4153"/>
        <w:tab w:val="right" w:pos="8306"/>
      </w:tabs>
      <w:snapToGrid w:val="0"/>
      <w:jc w:val="left"/>
    </w:pPr>
    <w:rPr>
      <w:sz w:val="18"/>
      <w:szCs w:val="18"/>
    </w:rPr>
  </w:style>
  <w:style w:type="paragraph" w:styleId="31">
    <w:name w:val="header"/>
    <w:basedOn w:val="1"/>
    <w:link w:val="94"/>
    <w:qFormat/>
    <w:uiPriority w:val="99"/>
    <w:pPr>
      <w:pBdr>
        <w:bottom w:val="single" w:color="auto" w:sz="6" w:space="1"/>
      </w:pBdr>
      <w:tabs>
        <w:tab w:val="center" w:pos="4153"/>
        <w:tab w:val="right" w:pos="8306"/>
      </w:tabs>
      <w:snapToGrid w:val="0"/>
      <w:jc w:val="center"/>
    </w:pPr>
    <w:rPr>
      <w:sz w:val="18"/>
      <w:szCs w:val="18"/>
    </w:rPr>
  </w:style>
  <w:style w:type="paragraph" w:styleId="32">
    <w:name w:val="index heading"/>
    <w:basedOn w:val="1"/>
    <w:next w:val="33"/>
    <w:semiHidden/>
    <w:uiPriority w:val="0"/>
  </w:style>
  <w:style w:type="paragraph" w:styleId="33">
    <w:name w:val="index 1"/>
    <w:basedOn w:val="1"/>
    <w:next w:val="1"/>
    <w:semiHidden/>
    <w:unhideWhenUsed/>
    <w:uiPriority w:val="0"/>
  </w:style>
  <w:style w:type="paragraph" w:styleId="34">
    <w:name w:val="Subtitle"/>
    <w:basedOn w:val="1"/>
    <w:next w:val="1"/>
    <w:link w:val="96"/>
    <w:qFormat/>
    <w:uiPriority w:val="11"/>
    <w:pPr>
      <w:spacing w:before="240" w:after="60" w:line="312" w:lineRule="auto"/>
      <w:jc w:val="center"/>
      <w:outlineLvl w:val="1"/>
    </w:pPr>
    <w:rPr>
      <w:rFonts w:ascii="Cambria" w:hAnsi="Cambria"/>
      <w:b/>
      <w:bCs/>
      <w:kern w:val="28"/>
      <w:sz w:val="32"/>
      <w:szCs w:val="32"/>
    </w:rPr>
  </w:style>
  <w:style w:type="paragraph" w:styleId="35">
    <w:name w:val="footnote text"/>
    <w:basedOn w:val="1"/>
    <w:link w:val="161"/>
    <w:uiPriority w:val="0"/>
    <w:rPr>
      <w:sz w:val="20"/>
      <w:szCs w:val="20"/>
    </w:rPr>
  </w:style>
  <w:style w:type="paragraph" w:styleId="36">
    <w:name w:val="Body Text Indent 3"/>
    <w:basedOn w:val="1"/>
    <w:link w:val="189"/>
    <w:uiPriority w:val="0"/>
    <w:pPr>
      <w:spacing w:line="460" w:lineRule="exact"/>
      <w:ind w:firstLine="480"/>
      <w:outlineLvl w:val="0"/>
    </w:pPr>
    <w:rPr>
      <w:b/>
      <w:bCs/>
      <w:sz w:val="24"/>
      <w:szCs w:val="20"/>
    </w:rPr>
  </w:style>
  <w:style w:type="paragraph" w:styleId="37">
    <w:name w:val="index 7"/>
    <w:basedOn w:val="1"/>
    <w:next w:val="1"/>
    <w:semiHidden/>
    <w:uiPriority w:val="0"/>
    <w:pPr>
      <w:ind w:left="1200" w:leftChars="1200"/>
    </w:pPr>
  </w:style>
  <w:style w:type="paragraph" w:styleId="38">
    <w:name w:val="index 9"/>
    <w:basedOn w:val="1"/>
    <w:next w:val="1"/>
    <w:semiHidden/>
    <w:uiPriority w:val="0"/>
    <w:pPr>
      <w:ind w:left="1600" w:leftChars="1600"/>
    </w:pPr>
  </w:style>
  <w:style w:type="paragraph" w:styleId="39">
    <w:name w:val="table of figures"/>
    <w:basedOn w:val="1"/>
    <w:next w:val="1"/>
    <w:uiPriority w:val="0"/>
    <w:pPr>
      <w:ind w:left="200" w:leftChars="200" w:hanging="200" w:hangingChars="200"/>
    </w:pPr>
  </w:style>
  <w:style w:type="paragraph" w:styleId="40">
    <w:name w:val="Body Text 2"/>
    <w:basedOn w:val="1"/>
    <w:link w:val="193"/>
    <w:qFormat/>
    <w:uiPriority w:val="99"/>
    <w:pPr>
      <w:tabs>
        <w:tab w:val="left" w:pos="1080"/>
      </w:tabs>
    </w:pPr>
    <w:rPr>
      <w:rFonts w:eastAsia="仿宋_GB2312"/>
      <w:sz w:val="30"/>
    </w:rPr>
  </w:style>
  <w:style w:type="paragraph" w:styleId="41">
    <w:name w:val="HTML Preformatted"/>
    <w:basedOn w:val="1"/>
    <w:link w:val="16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pPr>
    <w:rPr>
      <w:rFonts w:ascii="微软雅黑" w:hAnsi="微软雅黑" w:eastAsia="微软雅黑"/>
      <w:sz w:val="24"/>
    </w:rPr>
  </w:style>
  <w:style w:type="paragraph" w:styleId="42">
    <w:name w:val="Normal (Web)"/>
    <w:basedOn w:val="1"/>
    <w:qFormat/>
    <w:uiPriority w:val="0"/>
    <w:pPr>
      <w:widowControl/>
      <w:spacing w:before="100" w:beforeAutospacing="1" w:after="100" w:afterAutospacing="1"/>
      <w:jc w:val="left"/>
    </w:pPr>
    <w:rPr>
      <w:kern w:val="0"/>
      <w:sz w:val="24"/>
    </w:rPr>
  </w:style>
  <w:style w:type="paragraph" w:styleId="43">
    <w:name w:val="index 2"/>
    <w:basedOn w:val="1"/>
    <w:next w:val="1"/>
    <w:semiHidden/>
    <w:uiPriority w:val="0"/>
    <w:pPr>
      <w:ind w:left="200" w:leftChars="200"/>
    </w:pPr>
  </w:style>
  <w:style w:type="paragraph" w:styleId="44">
    <w:name w:val="Title"/>
    <w:basedOn w:val="1"/>
    <w:next w:val="1"/>
    <w:link w:val="100"/>
    <w:qFormat/>
    <w:uiPriority w:val="0"/>
    <w:pPr>
      <w:spacing w:before="240" w:after="60"/>
      <w:jc w:val="center"/>
      <w:outlineLvl w:val="0"/>
    </w:pPr>
    <w:rPr>
      <w:rFonts w:ascii="Cambria" w:hAnsi="Cambria"/>
      <w:b/>
      <w:bCs/>
      <w:sz w:val="32"/>
      <w:szCs w:val="32"/>
    </w:rPr>
  </w:style>
  <w:style w:type="paragraph" w:styleId="45">
    <w:name w:val="annotation subject"/>
    <w:basedOn w:val="16"/>
    <w:next w:val="16"/>
    <w:link w:val="102"/>
    <w:qFormat/>
    <w:uiPriority w:val="99"/>
    <w:rPr>
      <w:rFonts w:hAnsi="Times New Roman"/>
      <w:b/>
      <w:bCs/>
      <w:kern w:val="0"/>
      <w:sz w:val="28"/>
    </w:rPr>
  </w:style>
  <w:style w:type="paragraph" w:styleId="46">
    <w:name w:val="Body Text First Indent"/>
    <w:basedOn w:val="20"/>
    <w:link w:val="266"/>
    <w:semiHidden/>
    <w:unhideWhenUsed/>
    <w:uiPriority w:val="99"/>
    <w:pPr>
      <w:spacing w:after="120" w:line="240" w:lineRule="auto"/>
      <w:ind w:firstLine="420" w:firstLineChars="100"/>
    </w:pPr>
    <w:rPr>
      <w:sz w:val="21"/>
    </w:rPr>
  </w:style>
  <w:style w:type="paragraph" w:styleId="47">
    <w:name w:val="Body Text First Indent 2"/>
    <w:basedOn w:val="21"/>
    <w:link w:val="267"/>
    <w:semiHidden/>
    <w:unhideWhenUsed/>
    <w:uiPriority w:val="99"/>
    <w:pPr>
      <w:spacing w:after="120" w:line="240" w:lineRule="auto"/>
      <w:ind w:left="420" w:leftChars="200" w:firstLine="420"/>
      <w:outlineLvl w:val="9"/>
    </w:pPr>
    <w:rPr>
      <w:sz w:val="21"/>
      <w:szCs w:val="24"/>
    </w:rPr>
  </w:style>
  <w:style w:type="table" w:styleId="49">
    <w:name w:val="Table Grid"/>
    <w:basedOn w:val="48"/>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22"/>
    <w:rPr>
      <w:b/>
      <w:bCs/>
    </w:rPr>
  </w:style>
  <w:style w:type="character" w:styleId="52">
    <w:name w:val="page number"/>
    <w:qFormat/>
    <w:uiPriority w:val="0"/>
  </w:style>
  <w:style w:type="character" w:styleId="53">
    <w:name w:val="FollowedHyperlink"/>
    <w:basedOn w:val="50"/>
    <w:semiHidden/>
    <w:unhideWhenUsed/>
    <w:uiPriority w:val="99"/>
    <w:rPr>
      <w:color w:val="800080" w:themeColor="followedHyperlink"/>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qFormat/>
    <w:uiPriority w:val="99"/>
    <w:rPr>
      <w:rFonts w:cs="Times New Roman"/>
      <w:sz w:val="21"/>
      <w:szCs w:val="21"/>
    </w:rPr>
  </w:style>
  <w:style w:type="character" w:styleId="57">
    <w:name w:val="footnote reference"/>
    <w:uiPriority w:val="0"/>
    <w:rPr>
      <w:sz w:val="28"/>
      <w:vertAlign w:val="superscript"/>
    </w:rPr>
  </w:style>
  <w:style w:type="character" w:customStyle="1" w:styleId="58">
    <w:name w:val="标题 1 Char"/>
    <w:basedOn w:val="50"/>
    <w:uiPriority w:val="0"/>
    <w:rPr>
      <w:rFonts w:ascii="Times New Roman" w:hAnsi="Times New Roman" w:eastAsia="宋体" w:cs="Times New Roman"/>
      <w:b/>
      <w:bCs/>
      <w:kern w:val="44"/>
      <w:sz w:val="44"/>
      <w:szCs w:val="44"/>
    </w:rPr>
  </w:style>
  <w:style w:type="character" w:customStyle="1" w:styleId="59">
    <w:name w:val="标题 2 Char"/>
    <w:basedOn w:val="50"/>
    <w:semiHidden/>
    <w:uiPriority w:val="9"/>
    <w:rPr>
      <w:rFonts w:asciiTheme="majorHAnsi" w:hAnsiTheme="majorHAnsi" w:eastAsiaTheme="majorEastAsia" w:cstheme="majorBidi"/>
      <w:b/>
      <w:bCs/>
      <w:sz w:val="32"/>
      <w:szCs w:val="32"/>
    </w:rPr>
  </w:style>
  <w:style w:type="character" w:customStyle="1" w:styleId="60">
    <w:name w:val="标题 3 Char"/>
    <w:basedOn w:val="50"/>
    <w:semiHidden/>
    <w:uiPriority w:val="9"/>
    <w:rPr>
      <w:rFonts w:ascii="Times New Roman" w:hAnsi="Times New Roman" w:eastAsia="宋体" w:cs="Times New Roman"/>
      <w:b/>
      <w:bCs/>
      <w:sz w:val="32"/>
      <w:szCs w:val="32"/>
    </w:rPr>
  </w:style>
  <w:style w:type="character" w:customStyle="1" w:styleId="61">
    <w:name w:val="标题 4 Char"/>
    <w:basedOn w:val="50"/>
    <w:semiHidden/>
    <w:uiPriority w:val="9"/>
    <w:rPr>
      <w:rFonts w:asciiTheme="majorHAnsi" w:hAnsiTheme="majorHAnsi" w:eastAsiaTheme="majorEastAsia" w:cstheme="majorBidi"/>
      <w:b/>
      <w:bCs/>
      <w:sz w:val="28"/>
      <w:szCs w:val="28"/>
    </w:rPr>
  </w:style>
  <w:style w:type="character" w:customStyle="1" w:styleId="62">
    <w:name w:val="标题 5 Char"/>
    <w:basedOn w:val="50"/>
    <w:semiHidden/>
    <w:uiPriority w:val="9"/>
    <w:rPr>
      <w:rFonts w:ascii="Times New Roman" w:hAnsi="Times New Roman" w:eastAsia="宋体" w:cs="Times New Roman"/>
      <w:b/>
      <w:bCs/>
      <w:sz w:val="28"/>
      <w:szCs w:val="28"/>
    </w:rPr>
  </w:style>
  <w:style w:type="character" w:customStyle="1" w:styleId="63">
    <w:name w:val="标题 6 Char"/>
    <w:basedOn w:val="50"/>
    <w:semiHidden/>
    <w:uiPriority w:val="9"/>
    <w:rPr>
      <w:rFonts w:asciiTheme="majorHAnsi" w:hAnsiTheme="majorHAnsi" w:eastAsiaTheme="majorEastAsia" w:cstheme="majorBidi"/>
      <w:b/>
      <w:bCs/>
      <w:sz w:val="24"/>
      <w:szCs w:val="24"/>
    </w:rPr>
  </w:style>
  <w:style w:type="character" w:customStyle="1" w:styleId="64">
    <w:name w:val="标题 7 Char"/>
    <w:basedOn w:val="50"/>
    <w:semiHidden/>
    <w:uiPriority w:val="9"/>
    <w:rPr>
      <w:rFonts w:ascii="Times New Roman" w:hAnsi="Times New Roman" w:eastAsia="宋体" w:cs="Times New Roman"/>
      <w:b/>
      <w:bCs/>
      <w:sz w:val="24"/>
      <w:szCs w:val="24"/>
    </w:rPr>
  </w:style>
  <w:style w:type="character" w:customStyle="1" w:styleId="65">
    <w:name w:val="标题 8 Char"/>
    <w:basedOn w:val="50"/>
    <w:semiHidden/>
    <w:uiPriority w:val="9"/>
    <w:rPr>
      <w:rFonts w:asciiTheme="majorHAnsi" w:hAnsiTheme="majorHAnsi" w:eastAsiaTheme="majorEastAsia" w:cstheme="majorBidi"/>
      <w:sz w:val="24"/>
      <w:szCs w:val="24"/>
    </w:rPr>
  </w:style>
  <w:style w:type="character" w:customStyle="1" w:styleId="66">
    <w:name w:val="标题 9 Char"/>
    <w:basedOn w:val="50"/>
    <w:semiHidden/>
    <w:uiPriority w:val="9"/>
    <w:rPr>
      <w:rFonts w:asciiTheme="majorHAnsi" w:hAnsiTheme="majorHAnsi" w:eastAsiaTheme="majorEastAsia" w:cstheme="majorBidi"/>
      <w:szCs w:val="21"/>
    </w:rPr>
  </w:style>
  <w:style w:type="character" w:customStyle="1" w:styleId="67">
    <w:name w:val="标题 1 Char1"/>
    <w:link w:val="2"/>
    <w:qFormat/>
    <w:uiPriority w:val="9"/>
    <w:rPr>
      <w:rFonts w:ascii="宋体" w:hAnsi="宋体" w:eastAsia="宋体" w:cs="Times New Roman"/>
      <w:b/>
      <w:kern w:val="44"/>
      <w:sz w:val="36"/>
      <w:szCs w:val="32"/>
    </w:rPr>
  </w:style>
  <w:style w:type="character" w:customStyle="1" w:styleId="68">
    <w:name w:val="标题 2 Char1"/>
    <w:link w:val="3"/>
    <w:uiPriority w:val="9"/>
    <w:rPr>
      <w:rFonts w:ascii="宋体" w:hAnsi="宋体" w:eastAsia="宋体" w:cs="Times New Roman"/>
      <w:b/>
      <w:sz w:val="32"/>
      <w:szCs w:val="32"/>
    </w:rPr>
  </w:style>
  <w:style w:type="character" w:customStyle="1" w:styleId="69">
    <w:name w:val="标题 3 Char1"/>
    <w:link w:val="4"/>
    <w:qFormat/>
    <w:uiPriority w:val="0"/>
    <w:rPr>
      <w:rFonts w:ascii="Times New Roman" w:hAnsi="Times New Roman" w:eastAsia="宋体" w:cs="Times New Roman"/>
      <w:b/>
      <w:bCs/>
      <w:sz w:val="32"/>
      <w:szCs w:val="32"/>
    </w:rPr>
  </w:style>
  <w:style w:type="character" w:customStyle="1" w:styleId="70">
    <w:name w:val="标题 4 Char1"/>
    <w:link w:val="6"/>
    <w:uiPriority w:val="9"/>
    <w:rPr>
      <w:rFonts w:ascii="Arial" w:hAnsi="Arial" w:eastAsia="黑体" w:cs="Times New Roman"/>
      <w:b/>
      <w:bCs/>
      <w:sz w:val="28"/>
      <w:szCs w:val="28"/>
    </w:rPr>
  </w:style>
  <w:style w:type="character" w:customStyle="1" w:styleId="71">
    <w:name w:val="标题 5 Char1"/>
    <w:link w:val="7"/>
    <w:qFormat/>
    <w:uiPriority w:val="0"/>
    <w:rPr>
      <w:rFonts w:ascii="Times New Roman" w:hAnsi="Times New Roman" w:eastAsia="宋体" w:cs="Times New Roman"/>
      <w:b/>
      <w:bCs/>
      <w:sz w:val="28"/>
      <w:szCs w:val="28"/>
    </w:rPr>
  </w:style>
  <w:style w:type="character" w:customStyle="1" w:styleId="72">
    <w:name w:val="标题 6 Char1"/>
    <w:link w:val="8"/>
    <w:qFormat/>
    <w:uiPriority w:val="0"/>
    <w:rPr>
      <w:rFonts w:ascii="Arial" w:hAnsi="Arial" w:eastAsia="黑体" w:cs="Times New Roman"/>
      <w:b/>
      <w:bCs/>
      <w:sz w:val="24"/>
      <w:szCs w:val="24"/>
    </w:rPr>
  </w:style>
  <w:style w:type="character" w:customStyle="1" w:styleId="73">
    <w:name w:val="标题 7 Char1"/>
    <w:link w:val="9"/>
    <w:qFormat/>
    <w:uiPriority w:val="0"/>
    <w:rPr>
      <w:rFonts w:ascii="Times New Roman" w:hAnsi="Times New Roman" w:eastAsia="宋体" w:cs="Times New Roman"/>
      <w:b/>
      <w:bCs/>
      <w:sz w:val="24"/>
      <w:szCs w:val="24"/>
    </w:rPr>
  </w:style>
  <w:style w:type="character" w:customStyle="1" w:styleId="74">
    <w:name w:val="标题 8 Char1"/>
    <w:link w:val="10"/>
    <w:qFormat/>
    <w:uiPriority w:val="0"/>
    <w:rPr>
      <w:rFonts w:ascii="Arial" w:hAnsi="Arial" w:eastAsia="黑体" w:cs="Times New Roman"/>
      <w:sz w:val="24"/>
      <w:szCs w:val="24"/>
    </w:rPr>
  </w:style>
  <w:style w:type="character" w:customStyle="1" w:styleId="75">
    <w:name w:val="标题 9 Char1"/>
    <w:link w:val="11"/>
    <w:qFormat/>
    <w:uiPriority w:val="0"/>
    <w:rPr>
      <w:rFonts w:ascii="Arial" w:hAnsi="Arial" w:eastAsia="黑体" w:cs="Times New Roman"/>
      <w:szCs w:val="21"/>
    </w:rPr>
  </w:style>
  <w:style w:type="paragraph" w:customStyle="1" w:styleId="76">
    <w:name w:val="_Style 31"/>
    <w:basedOn w:val="21"/>
    <w:next w:val="47"/>
    <w:link w:val="165"/>
    <w:uiPriority w:val="0"/>
    <w:pPr>
      <w:spacing w:after="120" w:line="240" w:lineRule="auto"/>
      <w:ind w:left="420" w:leftChars="200" w:firstLine="420"/>
      <w:outlineLvl w:val="9"/>
    </w:pPr>
    <w:rPr>
      <w:rFonts w:ascii="等线" w:hAnsi="等线" w:eastAsia="等线" w:cstheme="minorBidi"/>
      <w:sz w:val="21"/>
      <w:szCs w:val="24"/>
    </w:rPr>
  </w:style>
  <w:style w:type="character" w:customStyle="1" w:styleId="77">
    <w:name w:val="文档结构图 Char"/>
    <w:basedOn w:val="50"/>
    <w:semiHidden/>
    <w:uiPriority w:val="99"/>
    <w:rPr>
      <w:rFonts w:ascii="宋体" w:hAnsi="Times New Roman" w:eastAsia="宋体" w:cs="Times New Roman"/>
      <w:sz w:val="18"/>
      <w:szCs w:val="18"/>
    </w:rPr>
  </w:style>
  <w:style w:type="character" w:customStyle="1" w:styleId="78">
    <w:name w:val="文档结构图 Char2"/>
    <w:link w:val="15"/>
    <w:qFormat/>
    <w:uiPriority w:val="99"/>
    <w:rPr>
      <w:rFonts w:ascii="Times New Roman" w:hAnsi="Times New Roman" w:eastAsia="宋体" w:cs="Times New Roman"/>
      <w:kern w:val="0"/>
      <w:sz w:val="20"/>
      <w:szCs w:val="24"/>
      <w:shd w:val="clear" w:color="auto" w:fill="000080"/>
    </w:rPr>
  </w:style>
  <w:style w:type="character" w:customStyle="1" w:styleId="79">
    <w:name w:val="批注文字 Char"/>
    <w:basedOn w:val="50"/>
    <w:semiHidden/>
    <w:uiPriority w:val="99"/>
    <w:rPr>
      <w:rFonts w:ascii="Times New Roman" w:hAnsi="Times New Roman" w:eastAsia="宋体" w:cs="Times New Roman"/>
      <w:szCs w:val="24"/>
    </w:rPr>
  </w:style>
  <w:style w:type="character" w:customStyle="1" w:styleId="80">
    <w:name w:val="批注文字 Char1"/>
    <w:link w:val="16"/>
    <w:qFormat/>
    <w:uiPriority w:val="99"/>
    <w:rPr>
      <w:rFonts w:ascii="宋体" w:hAnsi="Courier New" w:eastAsia="宋体" w:cs="Times New Roman"/>
      <w:szCs w:val="20"/>
    </w:rPr>
  </w:style>
  <w:style w:type="character" w:customStyle="1" w:styleId="81">
    <w:name w:val="正文文本 3 Char"/>
    <w:basedOn w:val="50"/>
    <w:semiHidden/>
    <w:uiPriority w:val="99"/>
    <w:rPr>
      <w:rFonts w:ascii="Times New Roman" w:hAnsi="Times New Roman" w:eastAsia="宋体" w:cs="Times New Roman"/>
      <w:sz w:val="16"/>
      <w:szCs w:val="16"/>
    </w:rPr>
  </w:style>
  <w:style w:type="character" w:customStyle="1" w:styleId="82">
    <w:name w:val="正文文本 Char"/>
    <w:basedOn w:val="50"/>
    <w:semiHidden/>
    <w:uiPriority w:val="99"/>
    <w:rPr>
      <w:rFonts w:ascii="Times New Roman" w:hAnsi="Times New Roman" w:eastAsia="宋体" w:cs="Times New Roman"/>
      <w:szCs w:val="24"/>
    </w:rPr>
  </w:style>
  <w:style w:type="character" w:customStyle="1" w:styleId="83">
    <w:name w:val="正文文本 Char2"/>
    <w:link w:val="20"/>
    <w:qFormat/>
    <w:uiPriority w:val="99"/>
    <w:rPr>
      <w:rFonts w:ascii="Times New Roman" w:hAnsi="Times New Roman" w:eastAsia="宋体" w:cs="Times New Roman"/>
      <w:sz w:val="24"/>
      <w:szCs w:val="24"/>
    </w:rPr>
  </w:style>
  <w:style w:type="character" w:customStyle="1" w:styleId="84">
    <w:name w:val="正文文本缩进 Char"/>
    <w:basedOn w:val="50"/>
    <w:semiHidden/>
    <w:uiPriority w:val="99"/>
    <w:rPr>
      <w:rFonts w:ascii="Times New Roman" w:hAnsi="Times New Roman" w:eastAsia="宋体" w:cs="Times New Roman"/>
      <w:szCs w:val="24"/>
    </w:rPr>
  </w:style>
  <w:style w:type="character" w:customStyle="1" w:styleId="85">
    <w:name w:val="纯文本 Char"/>
    <w:basedOn w:val="50"/>
    <w:uiPriority w:val="0"/>
    <w:rPr>
      <w:rFonts w:ascii="宋体" w:hAnsi="Courier New" w:eastAsia="宋体" w:cs="Courier New"/>
      <w:szCs w:val="21"/>
    </w:rPr>
  </w:style>
  <w:style w:type="character" w:customStyle="1" w:styleId="86">
    <w:name w:val="纯文本 Char2"/>
    <w:link w:val="25"/>
    <w:qFormat/>
    <w:uiPriority w:val="0"/>
    <w:rPr>
      <w:rFonts w:ascii="宋体" w:hAnsi="Courier New" w:eastAsia="宋体" w:cs="Times New Roman"/>
      <w:szCs w:val="20"/>
    </w:rPr>
  </w:style>
  <w:style w:type="character" w:customStyle="1" w:styleId="87">
    <w:name w:val="日期 Char"/>
    <w:basedOn w:val="50"/>
    <w:semiHidden/>
    <w:uiPriority w:val="99"/>
    <w:rPr>
      <w:rFonts w:ascii="Times New Roman" w:hAnsi="Times New Roman" w:eastAsia="宋体" w:cs="Times New Roman"/>
      <w:szCs w:val="24"/>
    </w:rPr>
  </w:style>
  <w:style w:type="character" w:customStyle="1" w:styleId="88">
    <w:name w:val="正文文本缩进 2 Char"/>
    <w:basedOn w:val="50"/>
    <w:semiHidden/>
    <w:uiPriority w:val="99"/>
    <w:rPr>
      <w:rFonts w:ascii="Times New Roman" w:hAnsi="Times New Roman" w:eastAsia="宋体" w:cs="Times New Roman"/>
      <w:szCs w:val="24"/>
    </w:rPr>
  </w:style>
  <w:style w:type="character" w:customStyle="1" w:styleId="89">
    <w:name w:val="批注框文本 Char"/>
    <w:basedOn w:val="50"/>
    <w:semiHidden/>
    <w:uiPriority w:val="99"/>
    <w:rPr>
      <w:rFonts w:ascii="Times New Roman" w:hAnsi="Times New Roman" w:eastAsia="宋体" w:cs="Times New Roman"/>
      <w:sz w:val="18"/>
      <w:szCs w:val="18"/>
    </w:rPr>
  </w:style>
  <w:style w:type="character" w:customStyle="1" w:styleId="90">
    <w:name w:val="批注框文本 Char2"/>
    <w:link w:val="29"/>
    <w:qFormat/>
    <w:uiPriority w:val="99"/>
    <w:rPr>
      <w:rFonts w:ascii="Times New Roman" w:hAnsi="Times New Roman" w:eastAsia="宋体" w:cs="Times New Roman"/>
      <w:sz w:val="18"/>
      <w:szCs w:val="18"/>
    </w:rPr>
  </w:style>
  <w:style w:type="character" w:customStyle="1" w:styleId="91">
    <w:name w:val="页脚 Char"/>
    <w:basedOn w:val="50"/>
    <w:semiHidden/>
    <w:uiPriority w:val="99"/>
    <w:rPr>
      <w:rFonts w:ascii="Times New Roman" w:hAnsi="Times New Roman" w:eastAsia="宋体" w:cs="Times New Roman"/>
      <w:sz w:val="18"/>
      <w:szCs w:val="18"/>
    </w:rPr>
  </w:style>
  <w:style w:type="character" w:customStyle="1" w:styleId="92">
    <w:name w:val="页脚 Char1"/>
    <w:link w:val="30"/>
    <w:qFormat/>
    <w:uiPriority w:val="99"/>
    <w:rPr>
      <w:rFonts w:ascii="Times New Roman" w:hAnsi="Times New Roman" w:eastAsia="宋体" w:cs="Times New Roman"/>
      <w:sz w:val="18"/>
      <w:szCs w:val="18"/>
    </w:rPr>
  </w:style>
  <w:style w:type="character" w:customStyle="1" w:styleId="93">
    <w:name w:val="页眉 Char"/>
    <w:basedOn w:val="50"/>
    <w:semiHidden/>
    <w:uiPriority w:val="99"/>
    <w:rPr>
      <w:rFonts w:ascii="Times New Roman" w:hAnsi="Times New Roman" w:eastAsia="宋体" w:cs="Times New Roman"/>
      <w:sz w:val="18"/>
      <w:szCs w:val="18"/>
    </w:rPr>
  </w:style>
  <w:style w:type="character" w:customStyle="1" w:styleId="94">
    <w:name w:val="页眉 Char1"/>
    <w:link w:val="31"/>
    <w:qFormat/>
    <w:uiPriority w:val="99"/>
    <w:rPr>
      <w:rFonts w:ascii="Times New Roman" w:hAnsi="Times New Roman" w:eastAsia="宋体" w:cs="Times New Roman"/>
      <w:sz w:val="18"/>
      <w:szCs w:val="18"/>
    </w:rPr>
  </w:style>
  <w:style w:type="character" w:customStyle="1" w:styleId="95">
    <w:name w:val="副标题 Char"/>
    <w:basedOn w:val="50"/>
    <w:uiPriority w:val="11"/>
    <w:rPr>
      <w:rFonts w:eastAsia="宋体" w:asciiTheme="majorHAnsi" w:hAnsiTheme="majorHAnsi" w:cstheme="majorBidi"/>
      <w:b/>
      <w:bCs/>
      <w:kern w:val="28"/>
      <w:sz w:val="32"/>
      <w:szCs w:val="32"/>
    </w:rPr>
  </w:style>
  <w:style w:type="character" w:customStyle="1" w:styleId="96">
    <w:name w:val="副标题 Char1"/>
    <w:link w:val="34"/>
    <w:qFormat/>
    <w:uiPriority w:val="11"/>
    <w:rPr>
      <w:rFonts w:ascii="Cambria" w:hAnsi="Cambria" w:eastAsia="宋体" w:cs="Times New Roman"/>
      <w:b/>
      <w:bCs/>
      <w:kern w:val="28"/>
      <w:sz w:val="32"/>
      <w:szCs w:val="32"/>
    </w:rPr>
  </w:style>
  <w:style w:type="character" w:customStyle="1" w:styleId="97">
    <w:name w:val="正文文本缩进 3 Char"/>
    <w:basedOn w:val="50"/>
    <w:semiHidden/>
    <w:uiPriority w:val="99"/>
    <w:rPr>
      <w:rFonts w:ascii="Times New Roman" w:hAnsi="Times New Roman" w:eastAsia="宋体" w:cs="Times New Roman"/>
      <w:sz w:val="16"/>
      <w:szCs w:val="16"/>
    </w:rPr>
  </w:style>
  <w:style w:type="character" w:customStyle="1" w:styleId="98">
    <w:name w:val="正文文本 2 Char"/>
    <w:basedOn w:val="50"/>
    <w:semiHidden/>
    <w:uiPriority w:val="99"/>
    <w:rPr>
      <w:rFonts w:ascii="Times New Roman" w:hAnsi="Times New Roman" w:eastAsia="宋体" w:cs="Times New Roman"/>
      <w:szCs w:val="24"/>
    </w:rPr>
  </w:style>
  <w:style w:type="character" w:customStyle="1" w:styleId="99">
    <w:name w:val="标题 Char"/>
    <w:basedOn w:val="50"/>
    <w:uiPriority w:val="10"/>
    <w:rPr>
      <w:rFonts w:eastAsia="宋体" w:asciiTheme="majorHAnsi" w:hAnsiTheme="majorHAnsi" w:cstheme="majorBidi"/>
      <w:b/>
      <w:bCs/>
      <w:sz w:val="32"/>
      <w:szCs w:val="32"/>
    </w:rPr>
  </w:style>
  <w:style w:type="character" w:customStyle="1" w:styleId="100">
    <w:name w:val="标题 Char1"/>
    <w:link w:val="44"/>
    <w:uiPriority w:val="0"/>
    <w:rPr>
      <w:rFonts w:ascii="Cambria" w:hAnsi="Cambria" w:eastAsia="宋体" w:cs="Times New Roman"/>
      <w:b/>
      <w:bCs/>
      <w:sz w:val="32"/>
      <w:szCs w:val="32"/>
    </w:rPr>
  </w:style>
  <w:style w:type="character" w:customStyle="1" w:styleId="101">
    <w:name w:val="批注主题 Char"/>
    <w:basedOn w:val="79"/>
    <w:semiHidden/>
    <w:uiPriority w:val="99"/>
    <w:rPr>
      <w:rFonts w:ascii="Times New Roman" w:hAnsi="Times New Roman" w:eastAsia="宋体" w:cs="Times New Roman"/>
      <w:b/>
      <w:bCs/>
      <w:szCs w:val="24"/>
    </w:rPr>
  </w:style>
  <w:style w:type="character" w:customStyle="1" w:styleId="102">
    <w:name w:val="批注主题 Char2"/>
    <w:link w:val="45"/>
    <w:qFormat/>
    <w:uiPriority w:val="99"/>
    <w:rPr>
      <w:rFonts w:ascii="宋体" w:hAnsi="Times New Roman" w:eastAsia="宋体" w:cs="Times New Roman"/>
      <w:b/>
      <w:bCs/>
      <w:kern w:val="0"/>
      <w:sz w:val="28"/>
      <w:szCs w:val="20"/>
    </w:rPr>
  </w:style>
  <w:style w:type="character" w:customStyle="1" w:styleId="103">
    <w:name w:val="文档结构图 Char1"/>
    <w:qFormat/>
    <w:uiPriority w:val="0"/>
    <w:rPr>
      <w:rFonts w:ascii="宋体"/>
      <w:kern w:val="2"/>
      <w:sz w:val="18"/>
      <w:szCs w:val="18"/>
    </w:rPr>
  </w:style>
  <w:style w:type="character" w:customStyle="1" w:styleId="104">
    <w:name w:val="引用 Char1"/>
    <w:link w:val="105"/>
    <w:qFormat/>
    <w:uiPriority w:val="0"/>
    <w:rPr>
      <w:i/>
      <w:iCs/>
      <w:color w:val="000000"/>
    </w:rPr>
  </w:style>
  <w:style w:type="paragraph" w:styleId="105">
    <w:name w:val="Quote"/>
    <w:basedOn w:val="1"/>
    <w:next w:val="1"/>
    <w:link w:val="104"/>
    <w:qFormat/>
    <w:uiPriority w:val="0"/>
    <w:rPr>
      <w:rFonts w:asciiTheme="minorHAnsi" w:hAnsiTheme="minorHAnsi" w:eastAsiaTheme="minorEastAsia" w:cstheme="minorBidi"/>
      <w:i/>
      <w:iCs/>
      <w:color w:val="000000"/>
      <w:szCs w:val="22"/>
    </w:rPr>
  </w:style>
  <w:style w:type="character" w:customStyle="1" w:styleId="106">
    <w:name w:val="引用 Char"/>
    <w:basedOn w:val="50"/>
    <w:qFormat/>
    <w:uiPriority w:val="29"/>
    <w:rPr>
      <w:rFonts w:ascii="Times New Roman" w:hAnsi="Times New Roman" w:eastAsia="宋体" w:cs="Times New Roman"/>
      <w:i/>
      <w:iCs/>
      <w:color w:val="000000" w:themeColor="text1"/>
      <w:szCs w:val="24"/>
    </w:rPr>
  </w:style>
  <w:style w:type="character" w:customStyle="1" w:styleId="107">
    <w:name w:val="Char Char"/>
    <w:qFormat/>
    <w:uiPriority w:val="0"/>
    <w:rPr>
      <w:kern w:val="2"/>
      <w:sz w:val="28"/>
    </w:rPr>
  </w:style>
  <w:style w:type="character" w:customStyle="1" w:styleId="108">
    <w:name w:val="批注主题 Char1"/>
    <w:qFormat/>
    <w:uiPriority w:val="0"/>
    <w:rPr>
      <w:b/>
      <w:bCs/>
      <w:kern w:val="2"/>
      <w:sz w:val="21"/>
      <w:szCs w:val="22"/>
    </w:rPr>
  </w:style>
  <w:style w:type="character" w:customStyle="1" w:styleId="109">
    <w:name w:val="textcontents"/>
    <w:uiPriority w:val="0"/>
    <w:rPr>
      <w:rFonts w:cs="Times New Roman"/>
    </w:rPr>
  </w:style>
  <w:style w:type="character" w:customStyle="1" w:styleId="110">
    <w:name w:val="标题5 Char Char"/>
    <w:link w:val="111"/>
    <w:uiPriority w:val="0"/>
    <w:rPr>
      <w:rFonts w:ascii="Arial" w:hAnsi="Arial"/>
      <w:b/>
      <w:bCs/>
      <w:sz w:val="24"/>
      <w:szCs w:val="32"/>
    </w:rPr>
  </w:style>
  <w:style w:type="paragraph" w:customStyle="1" w:styleId="111">
    <w:name w:val="标题5"/>
    <w:basedOn w:val="4"/>
    <w:link w:val="110"/>
    <w:uiPriority w:val="0"/>
    <w:pPr>
      <w:spacing w:line="413" w:lineRule="auto"/>
    </w:pPr>
    <w:rPr>
      <w:rFonts w:ascii="Arial" w:hAnsi="Arial" w:eastAsiaTheme="minorEastAsia" w:cstheme="minorBidi"/>
      <w:sz w:val="24"/>
    </w:rPr>
  </w:style>
  <w:style w:type="character" w:customStyle="1" w:styleId="112">
    <w:name w:val="明显引用 Char1"/>
    <w:link w:val="113"/>
    <w:uiPriority w:val="0"/>
    <w:rPr>
      <w:b/>
      <w:bCs/>
      <w:i/>
      <w:iCs/>
      <w:color w:val="4F81BD"/>
    </w:rPr>
  </w:style>
  <w:style w:type="paragraph" w:styleId="113">
    <w:name w:val="Intense Quote"/>
    <w:basedOn w:val="1"/>
    <w:next w:val="1"/>
    <w:link w:val="112"/>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114">
    <w:name w:val="明显引用 Char"/>
    <w:basedOn w:val="50"/>
    <w:qFormat/>
    <w:uiPriority w:val="30"/>
    <w:rPr>
      <w:rFonts w:ascii="Times New Roman" w:hAnsi="Times New Roman" w:eastAsia="宋体" w:cs="Times New Roman"/>
      <w:b/>
      <w:bCs/>
      <w:i/>
      <w:iCs/>
      <w:color w:val="4F81BD" w:themeColor="accent1"/>
      <w:szCs w:val="24"/>
    </w:rPr>
  </w:style>
  <w:style w:type="character" w:customStyle="1" w:styleId="115">
    <w:name w:val="Char Char Char"/>
    <w:qFormat/>
    <w:uiPriority w:val="0"/>
    <w:rPr>
      <w:kern w:val="2"/>
      <w:sz w:val="28"/>
    </w:rPr>
  </w:style>
  <w:style w:type="character" w:customStyle="1" w:styleId="116">
    <w:name w:val="纯文本 Char Char Char"/>
    <w:uiPriority w:val="0"/>
    <w:rPr>
      <w:rFonts w:ascii="宋体" w:hAnsi="Courier New" w:eastAsia="宋体"/>
      <w:kern w:val="2"/>
      <w:sz w:val="21"/>
      <w:lang w:val="en-US" w:eastAsia="zh-CN" w:bidi="ar-SA"/>
    </w:rPr>
  </w:style>
  <w:style w:type="character" w:customStyle="1" w:styleId="117">
    <w:name w:val="批注文字 Char Char"/>
    <w:uiPriority w:val="0"/>
    <w:rPr>
      <w:rFonts w:ascii="宋体" w:hAnsi="Times New Roman" w:eastAsia="宋体" w:cs="Times New Roman"/>
      <w:sz w:val="28"/>
      <w:szCs w:val="20"/>
    </w:rPr>
  </w:style>
  <w:style w:type="character" w:customStyle="1" w:styleId="118">
    <w:name w:val="Intense Reference"/>
    <w:qFormat/>
    <w:uiPriority w:val="0"/>
    <w:rPr>
      <w:b/>
      <w:bCs/>
      <w:smallCaps/>
      <w:color w:val="C0504D"/>
      <w:spacing w:val="5"/>
      <w:u w:val="single"/>
    </w:rPr>
  </w:style>
  <w:style w:type="character" w:customStyle="1" w:styleId="119">
    <w:name w:val="日期 Char1"/>
    <w:qFormat/>
    <w:uiPriority w:val="0"/>
    <w:rPr>
      <w:kern w:val="2"/>
      <w:sz w:val="21"/>
      <w:szCs w:val="22"/>
    </w:rPr>
  </w:style>
  <w:style w:type="character" w:customStyle="1" w:styleId="120">
    <w:name w:val="Char Char9"/>
    <w:qFormat/>
    <w:uiPriority w:val="0"/>
    <w:rPr>
      <w:kern w:val="2"/>
      <w:sz w:val="21"/>
      <w:szCs w:val="22"/>
    </w:rPr>
  </w:style>
  <w:style w:type="character" w:customStyle="1" w:styleId="121">
    <w:name w:val="Intense Emphasis"/>
    <w:qFormat/>
    <w:uiPriority w:val="0"/>
    <w:rPr>
      <w:b/>
      <w:bCs/>
      <w:i/>
      <w:iCs/>
      <w:color w:val="4F81BD"/>
    </w:rPr>
  </w:style>
  <w:style w:type="character" w:customStyle="1" w:styleId="122">
    <w:name w:val="标题4 Char Char"/>
    <w:link w:val="123"/>
    <w:qFormat/>
    <w:uiPriority w:val="0"/>
    <w:rPr>
      <w:rFonts w:eastAsia="仿宋_GB2312"/>
      <w:sz w:val="32"/>
    </w:rPr>
  </w:style>
  <w:style w:type="paragraph" w:customStyle="1" w:styleId="123">
    <w:name w:val="标题4"/>
    <w:basedOn w:val="1"/>
    <w:link w:val="122"/>
    <w:qFormat/>
    <w:uiPriority w:val="0"/>
    <w:rPr>
      <w:rFonts w:eastAsia="仿宋_GB2312" w:asciiTheme="minorHAnsi" w:hAnsiTheme="minorHAnsi" w:cstheme="minorBidi"/>
      <w:sz w:val="32"/>
      <w:szCs w:val="22"/>
    </w:rPr>
  </w:style>
  <w:style w:type="character" w:customStyle="1" w:styleId="124">
    <w:name w:val="正文文本 Char1"/>
    <w:qFormat/>
    <w:uiPriority w:val="0"/>
    <w:rPr>
      <w:kern w:val="2"/>
      <w:sz w:val="21"/>
      <w:szCs w:val="22"/>
    </w:rPr>
  </w:style>
  <w:style w:type="character" w:customStyle="1" w:styleId="125">
    <w:name w:val="Subtle Emphasis"/>
    <w:qFormat/>
    <w:uiPriority w:val="0"/>
    <w:rPr>
      <w:i/>
      <w:iCs/>
      <w:color w:val="808080"/>
    </w:rPr>
  </w:style>
  <w:style w:type="character" w:customStyle="1" w:styleId="126">
    <w:name w:val="Subtle Reference"/>
    <w:qFormat/>
    <w:uiPriority w:val="0"/>
    <w:rPr>
      <w:smallCaps/>
      <w:color w:val="C0504D"/>
      <w:u w:val="single"/>
    </w:rPr>
  </w:style>
  <w:style w:type="character" w:customStyle="1" w:styleId="127">
    <w:name w:val="Book Title"/>
    <w:qFormat/>
    <w:uiPriority w:val="0"/>
    <w:rPr>
      <w:b/>
      <w:bCs/>
      <w:smallCaps/>
      <w:spacing w:val="5"/>
    </w:rPr>
  </w:style>
  <w:style w:type="character" w:customStyle="1" w:styleId="128">
    <w:name w:val="批注框文本 Char1"/>
    <w:qFormat/>
    <w:uiPriority w:val="0"/>
    <w:rPr>
      <w:kern w:val="2"/>
      <w:sz w:val="18"/>
      <w:szCs w:val="18"/>
    </w:rPr>
  </w:style>
  <w:style w:type="character" w:customStyle="1" w:styleId="129">
    <w:name w:val="普通文字 Char1"/>
    <w:qFormat/>
    <w:uiPriority w:val="0"/>
    <w:rPr>
      <w:rFonts w:ascii="宋体" w:hAnsi="Courier New" w:eastAsia="宋体" w:cs="Courier New"/>
      <w:kern w:val="2"/>
      <w:sz w:val="21"/>
      <w:szCs w:val="21"/>
      <w:lang w:val="en-US" w:eastAsia="zh-CN" w:bidi="ar-SA"/>
    </w:rPr>
  </w:style>
  <w:style w:type="paragraph" w:customStyle="1" w:styleId="130">
    <w:name w:val="TOC Heading"/>
    <w:basedOn w:val="2"/>
    <w:next w:val="1"/>
    <w:qFormat/>
    <w:uiPriority w:val="0"/>
    <w:pPr>
      <w:spacing w:after="330" w:line="576" w:lineRule="auto"/>
      <w:jc w:val="both"/>
      <w:outlineLvl w:val="9"/>
    </w:pPr>
    <w:rPr>
      <w:rFonts w:ascii="Calibri" w:hAnsi="Calibri"/>
      <w:bCs/>
      <w:sz w:val="44"/>
      <w:szCs w:val="44"/>
    </w:rPr>
  </w:style>
  <w:style w:type="paragraph" w:customStyle="1" w:styleId="131">
    <w:name w:val="flNote"/>
    <w:basedOn w:val="1"/>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32">
    <w:name w:val="Char Char Char Char Char Char"/>
    <w:basedOn w:val="1"/>
    <w:uiPriority w:val="0"/>
    <w:pPr>
      <w:ind w:firstLine="200" w:firstLineChars="200"/>
    </w:pPr>
    <w:rPr>
      <w:rFonts w:ascii="Tahoma" w:hAnsi="Tahoma" w:cs="Tahoma"/>
      <w:sz w:val="24"/>
    </w:rPr>
  </w:style>
  <w:style w:type="paragraph" w:customStyle="1" w:styleId="133">
    <w:name w:val="正文2"/>
    <w:basedOn w:val="1"/>
    <w:uiPriority w:val="0"/>
    <w:pPr>
      <w:widowControl/>
      <w:spacing w:after="160" w:line="360" w:lineRule="auto"/>
      <w:ind w:firstLine="200" w:firstLineChars="200"/>
      <w:jc w:val="left"/>
    </w:pPr>
    <w:rPr>
      <w:rFonts w:ascii="Verdana" w:hAnsi="Verdana" w:eastAsia="黑体"/>
      <w:kern w:val="0"/>
      <w:szCs w:val="20"/>
      <w:lang w:eastAsia="en-US"/>
    </w:rPr>
  </w:style>
  <w:style w:type="paragraph" w:customStyle="1" w:styleId="134">
    <w:name w:val="样式 标题 2 + Times New Roman 四号 非加粗 段前: 5 磅 段后: 0 磅 行距: 固定值 20..."/>
    <w:basedOn w:val="3"/>
    <w:qFormat/>
    <w:uiPriority w:val="0"/>
    <w:pPr>
      <w:spacing w:before="100" w:after="0" w:line="400" w:lineRule="exact"/>
      <w:jc w:val="both"/>
    </w:pPr>
    <w:rPr>
      <w:rFonts w:ascii="Times New Roman" w:hAnsi="Times New Roman" w:eastAsia="黑体" w:cs="宋体"/>
      <w:b w:val="0"/>
      <w:kern w:val="0"/>
      <w:sz w:val="28"/>
      <w:szCs w:val="20"/>
    </w:rPr>
  </w:style>
  <w:style w:type="paragraph" w:customStyle="1" w:styleId="135">
    <w:name w:val="空半行"/>
    <w:basedOn w:val="1"/>
    <w:uiPriority w:val="0"/>
    <w:pPr>
      <w:adjustRightInd w:val="0"/>
      <w:spacing w:line="120" w:lineRule="exact"/>
      <w:textAlignment w:val="baseline"/>
    </w:pPr>
    <w:rPr>
      <w:rFonts w:eastAsia="仿宋_GB2312"/>
      <w:color w:val="FFFFFF"/>
      <w:kern w:val="0"/>
      <w:sz w:val="30"/>
      <w:szCs w:val="20"/>
    </w:rPr>
  </w:style>
  <w:style w:type="paragraph" w:customStyle="1" w:styleId="136">
    <w:name w:val="Revision"/>
    <w:uiPriority w:val="99"/>
    <w:rPr>
      <w:rFonts w:ascii="Times New Roman" w:hAnsi="Times New Roman" w:eastAsia="宋体" w:cs="Times New Roman"/>
      <w:kern w:val="2"/>
      <w:sz w:val="21"/>
      <w:szCs w:val="24"/>
      <w:lang w:val="en-US" w:eastAsia="zh-CN" w:bidi="ar-SA"/>
    </w:rPr>
  </w:style>
  <w:style w:type="paragraph" w:customStyle="1" w:styleId="137">
    <w:name w:val="Blockquote"/>
    <w:basedOn w:val="1"/>
    <w:uiPriority w:val="99"/>
    <w:pPr>
      <w:autoSpaceDE w:val="0"/>
      <w:autoSpaceDN w:val="0"/>
      <w:adjustRightInd w:val="0"/>
      <w:spacing w:before="100" w:after="100"/>
      <w:ind w:left="360" w:right="360"/>
      <w:jc w:val="left"/>
    </w:pPr>
    <w:rPr>
      <w:kern w:val="0"/>
      <w:sz w:val="24"/>
      <w:szCs w:val="20"/>
    </w:rPr>
  </w:style>
  <w:style w:type="paragraph" w:customStyle="1" w:styleId="138">
    <w:name w:val="Char"/>
    <w:basedOn w:val="1"/>
    <w:uiPriority w:val="0"/>
    <w:pPr>
      <w:widowControl/>
      <w:spacing w:after="160" w:line="240" w:lineRule="exact"/>
      <w:jc w:val="left"/>
    </w:pPr>
    <w:rPr>
      <w:rFonts w:ascii="Verdana" w:hAnsi="Verdana"/>
      <w:kern w:val="0"/>
      <w:sz w:val="20"/>
      <w:szCs w:val="20"/>
      <w:lang w:eastAsia="en-US"/>
    </w:rPr>
  </w:style>
  <w:style w:type="character" w:customStyle="1" w:styleId="139">
    <w:name w:val="列出段落 Char"/>
    <w:link w:val="140"/>
    <w:qFormat/>
    <w:uiPriority w:val="34"/>
    <w:rPr>
      <w:rFonts w:ascii="Times New Roman" w:hAnsi="Times New Roman" w:eastAsia="宋体" w:cs="Times New Roman"/>
      <w:szCs w:val="24"/>
    </w:rPr>
  </w:style>
  <w:style w:type="paragraph" w:styleId="140">
    <w:name w:val="List Paragraph"/>
    <w:basedOn w:val="1"/>
    <w:link w:val="139"/>
    <w:qFormat/>
    <w:uiPriority w:val="34"/>
    <w:pPr>
      <w:ind w:firstLine="420" w:firstLineChars="200"/>
    </w:pPr>
  </w:style>
  <w:style w:type="paragraph" w:customStyle="1" w:styleId="141">
    <w:name w:val="目录文字"/>
    <w:basedOn w:val="1"/>
    <w:uiPriority w:val="0"/>
    <w:pPr>
      <w:widowControl/>
      <w:spacing w:line="480" w:lineRule="auto"/>
      <w:jc w:val="left"/>
    </w:pPr>
    <w:rPr>
      <w:rFonts w:ascii="宋体" w:hAnsi="宋体"/>
      <w:kern w:val="0"/>
      <w:sz w:val="24"/>
      <w:szCs w:val="20"/>
    </w:rPr>
  </w:style>
  <w:style w:type="paragraph" w:customStyle="1" w:styleId="142">
    <w:name w:val="样式1"/>
    <w:basedOn w:val="20"/>
    <w:link w:val="177"/>
    <w:qFormat/>
    <w:uiPriority w:val="0"/>
    <w:pPr>
      <w:spacing w:after="120" w:line="360" w:lineRule="auto"/>
    </w:pPr>
  </w:style>
  <w:style w:type="paragraph" w:customStyle="1" w:styleId="143">
    <w:name w:val="xl25"/>
    <w:basedOn w:val="1"/>
    <w:uiPriority w:val="0"/>
    <w:pPr>
      <w:widowControl/>
      <w:spacing w:before="100" w:beforeAutospacing="1" w:after="100" w:afterAutospacing="1"/>
      <w:jc w:val="right"/>
      <w:textAlignment w:val="center"/>
    </w:pPr>
    <w:rPr>
      <w:rFonts w:ascii="宋体" w:hAnsi="宋体"/>
      <w:kern w:val="0"/>
      <w:sz w:val="20"/>
      <w:szCs w:val="20"/>
    </w:rPr>
  </w:style>
  <w:style w:type="paragraph" w:customStyle="1" w:styleId="144">
    <w:name w:val="123"/>
    <w:basedOn w:val="1"/>
    <w:uiPriority w:val="0"/>
    <w:pPr>
      <w:spacing w:line="460" w:lineRule="exact"/>
      <w:ind w:firstLine="480" w:firstLineChars="200"/>
    </w:pPr>
    <w:rPr>
      <w:rFonts w:ascii="宋体" w:hAnsi="宋体" w:eastAsia="Times New Roman"/>
      <w:kern w:val="0"/>
      <w:sz w:val="24"/>
      <w:szCs w:val="20"/>
    </w:rPr>
  </w:style>
  <w:style w:type="paragraph" w:customStyle="1" w:styleId="145">
    <w:name w:val="Char Char Char Char Char Char Char Char Char Char Char Char Char Char Char1 Char"/>
    <w:basedOn w:val="1"/>
    <w:uiPriority w:val="0"/>
  </w:style>
  <w:style w:type="paragraph" w:customStyle="1" w:styleId="146">
    <w:name w:val="Char Char Char Char Char Char Char1"/>
    <w:basedOn w:val="1"/>
    <w:qFormat/>
    <w:uiPriority w:val="0"/>
    <w:pPr>
      <w:tabs>
        <w:tab w:val="left" w:pos="360"/>
      </w:tabs>
    </w:pPr>
  </w:style>
  <w:style w:type="paragraph" w:customStyle="1" w:styleId="147">
    <w:name w:val="xl27"/>
    <w:basedOn w:val="1"/>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148">
    <w:name w:val="Char Char Char Char"/>
    <w:basedOn w:val="1"/>
    <w:uiPriority w:val="0"/>
  </w:style>
  <w:style w:type="paragraph" w:customStyle="1" w:styleId="149">
    <w:name w:val="样式 标题 3 + (中文) 黑体 小四 非加粗 段前: 7.8 磅 段后: 0 磅 行距: 固定值 20 磅"/>
    <w:basedOn w:val="4"/>
    <w:uiPriority w:val="0"/>
    <w:pPr>
      <w:spacing w:before="0" w:after="0" w:line="400" w:lineRule="exact"/>
    </w:pPr>
    <w:rPr>
      <w:rFonts w:eastAsia="黑体" w:cs="宋体"/>
      <w:b w:val="0"/>
      <w:bCs w:val="0"/>
      <w:sz w:val="24"/>
      <w:szCs w:val="20"/>
    </w:rPr>
  </w:style>
  <w:style w:type="paragraph" w:customStyle="1" w:styleId="150">
    <w:name w:val="_Style 18"/>
    <w:basedOn w:val="1"/>
    <w:next w:val="25"/>
    <w:uiPriority w:val="0"/>
    <w:rPr>
      <w:rFonts w:ascii="宋体" w:hAnsi="Courier New" w:cs="Courier New"/>
      <w:szCs w:val="21"/>
    </w:rPr>
  </w:style>
  <w:style w:type="paragraph" w:customStyle="1" w:styleId="151">
    <w:name w:val="内容"/>
    <w:basedOn w:val="1"/>
    <w:uiPriority w:val="0"/>
    <w:pPr>
      <w:spacing w:line="360" w:lineRule="auto"/>
      <w:ind w:firstLine="560" w:firstLineChars="200"/>
    </w:pPr>
    <w:rPr>
      <w:rFonts w:eastAsia="Times New Roman"/>
      <w:kern w:val="0"/>
      <w:sz w:val="24"/>
      <w:szCs w:val="28"/>
    </w:rPr>
  </w:style>
  <w:style w:type="paragraph" w:styleId="15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3">
    <w:name w:val="Char1"/>
    <w:basedOn w:val="1"/>
    <w:uiPriority w:val="0"/>
    <w:pPr>
      <w:widowControl/>
      <w:spacing w:after="160" w:line="240" w:lineRule="exact"/>
      <w:jc w:val="left"/>
    </w:pPr>
    <w:rPr>
      <w:rFonts w:ascii="Verdana" w:hAnsi="Verdana"/>
      <w:kern w:val="0"/>
      <w:sz w:val="20"/>
      <w:szCs w:val="20"/>
      <w:lang w:eastAsia="en-US"/>
    </w:rPr>
  </w:style>
  <w:style w:type="paragraph" w:customStyle="1" w:styleId="154">
    <w:name w:val="Normal Indent1"/>
    <w:basedOn w:val="1"/>
    <w:qFormat/>
    <w:uiPriority w:val="0"/>
    <w:pPr>
      <w:autoSpaceDE w:val="0"/>
      <w:autoSpaceDN w:val="0"/>
      <w:adjustRightInd w:val="0"/>
      <w:snapToGrid w:val="0"/>
      <w:spacing w:afterLines="50" w:line="400" w:lineRule="exact"/>
      <w:ind w:firstLine="420" w:firstLineChars="200"/>
      <w:jc w:val="left"/>
    </w:pPr>
    <w:rPr>
      <w:kern w:val="0"/>
      <w:sz w:val="24"/>
    </w:rPr>
  </w:style>
  <w:style w:type="paragraph" w:customStyle="1" w:styleId="155">
    <w:name w:val="样式 样式1 + 首行缩进:  2 字符"/>
    <w:basedOn w:val="1"/>
    <w:uiPriority w:val="0"/>
    <w:pPr>
      <w:spacing w:line="360" w:lineRule="exact"/>
      <w:ind w:firstLine="420" w:firstLineChars="200"/>
    </w:pPr>
    <w:rPr>
      <w:rFonts w:ascii="Arial" w:hAnsi="Arial" w:cs="宋体"/>
      <w:szCs w:val="20"/>
    </w:rPr>
  </w:style>
  <w:style w:type="character" w:customStyle="1" w:styleId="156">
    <w:name w:val="正文文本首行缩进 字符"/>
    <w:qFormat/>
    <w:uiPriority w:val="0"/>
    <w:rPr>
      <w:rFonts w:eastAsia="宋体"/>
      <w:kern w:val="2"/>
      <w:sz w:val="21"/>
      <w:szCs w:val="24"/>
      <w:lang w:val="en-US" w:eastAsia="zh-CN" w:bidi="ar-SA"/>
    </w:rPr>
  </w:style>
  <w:style w:type="paragraph" w:customStyle="1" w:styleId="157">
    <w:name w:val="正文缩进1"/>
    <w:basedOn w:val="1"/>
    <w:uiPriority w:val="0"/>
    <w:pPr>
      <w:ind w:firstLine="420" w:firstLineChars="200"/>
    </w:pPr>
  </w:style>
  <w:style w:type="character" w:customStyle="1" w:styleId="158">
    <w:name w:val="称呼 Char"/>
    <w:basedOn w:val="50"/>
    <w:semiHidden/>
    <w:uiPriority w:val="99"/>
    <w:rPr>
      <w:rFonts w:ascii="Times New Roman" w:hAnsi="Times New Roman" w:eastAsia="宋体" w:cs="Times New Roman"/>
      <w:szCs w:val="24"/>
    </w:rPr>
  </w:style>
  <w:style w:type="character" w:customStyle="1" w:styleId="159">
    <w:name w:val="称呼 Char1"/>
    <w:link w:val="18"/>
    <w:uiPriority w:val="0"/>
    <w:rPr>
      <w:rFonts w:ascii="长城仿宋" w:hAnsi="宋体" w:eastAsia="长城仿宋" w:cs="Times New Roman"/>
      <w:sz w:val="28"/>
      <w:szCs w:val="24"/>
    </w:rPr>
  </w:style>
  <w:style w:type="character" w:customStyle="1" w:styleId="160">
    <w:name w:val="脚注文本 Char"/>
    <w:basedOn w:val="50"/>
    <w:semiHidden/>
    <w:uiPriority w:val="99"/>
    <w:rPr>
      <w:rFonts w:ascii="Times New Roman" w:hAnsi="Times New Roman" w:eastAsia="宋体" w:cs="Times New Roman"/>
      <w:sz w:val="18"/>
      <w:szCs w:val="18"/>
    </w:rPr>
  </w:style>
  <w:style w:type="character" w:customStyle="1" w:styleId="161">
    <w:name w:val="脚注文本 Char1"/>
    <w:link w:val="35"/>
    <w:uiPriority w:val="0"/>
    <w:rPr>
      <w:rFonts w:ascii="Times New Roman" w:hAnsi="Times New Roman" w:eastAsia="宋体" w:cs="Times New Roman"/>
      <w:sz w:val="20"/>
      <w:szCs w:val="20"/>
    </w:rPr>
  </w:style>
  <w:style w:type="character" w:customStyle="1" w:styleId="162">
    <w:name w:val="HTML 预设格式 Char"/>
    <w:basedOn w:val="50"/>
    <w:semiHidden/>
    <w:uiPriority w:val="99"/>
    <w:rPr>
      <w:rFonts w:ascii="Courier New" w:hAnsi="Courier New" w:eastAsia="宋体" w:cs="Courier New"/>
      <w:sz w:val="20"/>
      <w:szCs w:val="20"/>
    </w:rPr>
  </w:style>
  <w:style w:type="character" w:customStyle="1" w:styleId="163">
    <w:name w:val="HTML 预设格式 Char1"/>
    <w:link w:val="41"/>
    <w:qFormat/>
    <w:uiPriority w:val="99"/>
    <w:rPr>
      <w:rFonts w:ascii="微软雅黑" w:hAnsi="微软雅黑" w:eastAsia="微软雅黑" w:cs="Times New Roman"/>
      <w:sz w:val="24"/>
      <w:szCs w:val="24"/>
    </w:rPr>
  </w:style>
  <w:style w:type="character" w:customStyle="1" w:styleId="164">
    <w:name w:val="正文文本缩进 Char1"/>
    <w:link w:val="21"/>
    <w:uiPriority w:val="0"/>
    <w:rPr>
      <w:rFonts w:ascii="Times New Roman" w:hAnsi="Times New Roman" w:eastAsia="宋体" w:cs="Times New Roman"/>
      <w:sz w:val="24"/>
      <w:szCs w:val="20"/>
    </w:rPr>
  </w:style>
  <w:style w:type="character" w:customStyle="1" w:styleId="165">
    <w:name w:val="正文文本首行缩进 2 字符"/>
    <w:link w:val="76"/>
    <w:uiPriority w:val="0"/>
    <w:rPr>
      <w:rFonts w:ascii="等线" w:hAnsi="等线" w:eastAsia="等线"/>
      <w:szCs w:val="24"/>
    </w:rPr>
  </w:style>
  <w:style w:type="character" w:customStyle="1" w:styleId="166">
    <w:name w:val="未处理的提及1"/>
    <w:unhideWhenUsed/>
    <w:qFormat/>
    <w:uiPriority w:val="99"/>
    <w:rPr>
      <w:color w:val="605E5C"/>
      <w:shd w:val="clear" w:color="auto" w:fill="E1DFDD"/>
    </w:rPr>
  </w:style>
  <w:style w:type="character" w:customStyle="1" w:styleId="167">
    <w:name w:val="Char Char2"/>
    <w:uiPriority w:val="0"/>
    <w:rPr>
      <w:rFonts w:eastAsia="宋体"/>
      <w:kern w:val="2"/>
      <w:sz w:val="21"/>
      <w:szCs w:val="24"/>
      <w:lang w:val="en-US" w:eastAsia="zh-CN" w:bidi="ar-SA"/>
    </w:rPr>
  </w:style>
  <w:style w:type="character" w:customStyle="1" w:styleId="168">
    <w:name w:val="未处理的提及2"/>
    <w:unhideWhenUsed/>
    <w:uiPriority w:val="99"/>
    <w:rPr>
      <w:color w:val="605E5C"/>
      <w:sz w:val="28"/>
      <w:shd w:val="clear" w:color="auto" w:fill="E1DFDD"/>
    </w:rPr>
  </w:style>
  <w:style w:type="character" w:customStyle="1" w:styleId="169">
    <w:name w:val="search-in-page-highlight-item"/>
    <w:qFormat/>
    <w:uiPriority w:val="0"/>
    <w:rPr>
      <w:sz w:val="28"/>
    </w:rPr>
  </w:style>
  <w:style w:type="character" w:customStyle="1" w:styleId="170">
    <w:name w:val="表头11 Char"/>
    <w:link w:val="171"/>
    <w:uiPriority w:val="0"/>
    <w:rPr>
      <w:rFonts w:eastAsia="黑体"/>
      <w:sz w:val="24"/>
      <w:szCs w:val="24"/>
    </w:rPr>
  </w:style>
  <w:style w:type="paragraph" w:customStyle="1" w:styleId="171">
    <w:name w:val="表头11"/>
    <w:basedOn w:val="1"/>
    <w:link w:val="170"/>
    <w:uiPriority w:val="0"/>
    <w:pPr>
      <w:adjustRightInd w:val="0"/>
      <w:snapToGrid w:val="0"/>
      <w:spacing w:beforeLines="50" w:line="300" w:lineRule="auto"/>
      <w:ind w:firstLine="200" w:firstLineChars="200"/>
    </w:pPr>
    <w:rPr>
      <w:rFonts w:eastAsia="黑体" w:asciiTheme="minorHAnsi" w:hAnsiTheme="minorHAnsi" w:cstheme="minorBidi"/>
      <w:sz w:val="24"/>
    </w:rPr>
  </w:style>
  <w:style w:type="character" w:customStyle="1" w:styleId="172">
    <w:name w:val="search-in-page-highlight-wrapper"/>
    <w:qFormat/>
    <w:uiPriority w:val="0"/>
    <w:rPr>
      <w:sz w:val="28"/>
    </w:rPr>
  </w:style>
  <w:style w:type="character" w:customStyle="1" w:styleId="173">
    <w:name w:val="批注框文本 字符1"/>
    <w:semiHidden/>
    <w:uiPriority w:val="99"/>
    <w:rPr>
      <w:rFonts w:ascii="宋体" w:hAnsi="宋体" w:eastAsia="宋体" w:cs="Times New Roman"/>
      <w:kern w:val="0"/>
      <w:sz w:val="18"/>
      <w:szCs w:val="18"/>
    </w:rPr>
  </w:style>
  <w:style w:type="character" w:customStyle="1" w:styleId="174">
    <w:name w:val="未处理的提及3"/>
    <w:unhideWhenUsed/>
    <w:qFormat/>
    <w:uiPriority w:val="99"/>
    <w:rPr>
      <w:color w:val="605E5C"/>
      <w:shd w:val="clear" w:color="auto" w:fill="E1DFDD"/>
    </w:rPr>
  </w:style>
  <w:style w:type="character" w:customStyle="1" w:styleId="175">
    <w:name w:val="refer-count"/>
    <w:qFormat/>
    <w:uiPriority w:val="0"/>
    <w:rPr>
      <w:sz w:val="28"/>
    </w:rPr>
  </w:style>
  <w:style w:type="character" w:styleId="176">
    <w:name w:val="Placeholder Text"/>
    <w:unhideWhenUsed/>
    <w:qFormat/>
    <w:uiPriority w:val="99"/>
    <w:rPr>
      <w:color w:val="808080"/>
    </w:rPr>
  </w:style>
  <w:style w:type="character" w:customStyle="1" w:styleId="177">
    <w:name w:val="样式1 字符"/>
    <w:link w:val="142"/>
    <w:qFormat/>
    <w:uiPriority w:val="0"/>
    <w:rPr>
      <w:rFonts w:ascii="Times New Roman" w:hAnsi="Times New Roman" w:eastAsia="宋体" w:cs="Times New Roman"/>
      <w:sz w:val="24"/>
      <w:szCs w:val="24"/>
    </w:rPr>
  </w:style>
  <w:style w:type="character" w:customStyle="1" w:styleId="178">
    <w:name w:val="正文文本 2 字符1"/>
    <w:uiPriority w:val="99"/>
    <w:rPr>
      <w:kern w:val="2"/>
      <w:sz w:val="21"/>
      <w:szCs w:val="24"/>
    </w:rPr>
  </w:style>
  <w:style w:type="character" w:customStyle="1" w:styleId="179">
    <w:name w:val="文档结构图 字符1"/>
    <w:semiHidden/>
    <w:uiPriority w:val="99"/>
    <w:rPr>
      <w:rFonts w:ascii="Microsoft YaHei UI" w:hAnsi="宋体" w:eastAsia="Microsoft YaHei UI" w:cs="Times New Roman"/>
      <w:kern w:val="0"/>
      <w:sz w:val="18"/>
      <w:szCs w:val="18"/>
    </w:rPr>
  </w:style>
  <w:style w:type="character" w:customStyle="1" w:styleId="180">
    <w:name w:val="正文文本 3 字符1"/>
    <w:semiHidden/>
    <w:uiPriority w:val="99"/>
    <w:rPr>
      <w:rFonts w:ascii="宋体" w:hAnsi="宋体" w:eastAsia="宋体" w:cs="Times New Roman"/>
      <w:kern w:val="0"/>
      <w:sz w:val="16"/>
      <w:szCs w:val="16"/>
    </w:rPr>
  </w:style>
  <w:style w:type="character" w:customStyle="1" w:styleId="181">
    <w:name w:val="纯文本 Char1"/>
    <w:uiPriority w:val="0"/>
    <w:rPr>
      <w:rFonts w:ascii="宋体" w:hAnsi="Courier New" w:eastAsia="宋体"/>
      <w:kern w:val="2"/>
      <w:sz w:val="21"/>
      <w:szCs w:val="20"/>
      <w:lang w:val="en-US" w:eastAsia="zh-CN" w:bidi="ar-SA"/>
    </w:rPr>
  </w:style>
  <w:style w:type="character" w:customStyle="1" w:styleId="182">
    <w:name w:val="纯文本 字符1"/>
    <w:semiHidden/>
    <w:uiPriority w:val="99"/>
    <w:rPr>
      <w:rFonts w:ascii="等线" w:hAnsi="Courier New" w:cs="Courier New"/>
      <w:kern w:val="0"/>
      <w:sz w:val="24"/>
      <w:szCs w:val="20"/>
    </w:rPr>
  </w:style>
  <w:style w:type="character" w:customStyle="1" w:styleId="183">
    <w:name w:val="日期 Char2"/>
    <w:link w:val="27"/>
    <w:qFormat/>
    <w:uiPriority w:val="0"/>
    <w:rPr>
      <w:rFonts w:ascii="Times New Roman" w:hAnsi="Times New Roman" w:eastAsia="宋体" w:cs="Times New Roman"/>
      <w:color w:val="000000"/>
      <w:szCs w:val="20"/>
    </w:rPr>
  </w:style>
  <w:style w:type="character" w:customStyle="1" w:styleId="184">
    <w:name w:val="Char Char8"/>
    <w:uiPriority w:val="0"/>
    <w:rPr>
      <w:rFonts w:ascii="Arial" w:hAnsi="Arial" w:eastAsia="黑体"/>
      <w:b/>
      <w:bCs/>
      <w:kern w:val="2"/>
      <w:sz w:val="32"/>
      <w:szCs w:val="32"/>
      <w:lang w:val="en-US" w:eastAsia="zh-CN" w:bidi="ar-SA"/>
    </w:rPr>
  </w:style>
  <w:style w:type="character" w:customStyle="1" w:styleId="185">
    <w:name w:val="HTML 预设格式 字符1"/>
    <w:semiHidden/>
    <w:uiPriority w:val="99"/>
    <w:rPr>
      <w:rFonts w:ascii="Courier New" w:hAnsi="Courier New" w:eastAsia="宋体" w:cs="Courier New"/>
      <w:kern w:val="0"/>
      <w:sz w:val="20"/>
      <w:szCs w:val="20"/>
    </w:rPr>
  </w:style>
  <w:style w:type="character" w:customStyle="1" w:styleId="186">
    <w:name w:val="正文文本 3 Char1"/>
    <w:link w:val="19"/>
    <w:qFormat/>
    <w:uiPriority w:val="99"/>
    <w:rPr>
      <w:rFonts w:ascii="Times New Roman" w:hAnsi="Times New Roman" w:eastAsia="仿宋_GB2312" w:cs="Times New Roman"/>
      <w:sz w:val="28"/>
      <w:szCs w:val="24"/>
    </w:rPr>
  </w:style>
  <w:style w:type="character" w:customStyle="1" w:styleId="187">
    <w:name w:val="副标题 字符1"/>
    <w:uiPriority w:val="11"/>
    <w:rPr>
      <w:rFonts w:ascii="等线 Light" w:hAnsi="等线 Light" w:cs="Times New Roman"/>
      <w:b/>
      <w:bCs/>
      <w:kern w:val="28"/>
      <w:sz w:val="32"/>
      <w:szCs w:val="32"/>
    </w:rPr>
  </w:style>
  <w:style w:type="character" w:customStyle="1" w:styleId="188">
    <w:name w:val="Char Char Char Char Char"/>
    <w:uiPriority w:val="0"/>
    <w:rPr>
      <w:rFonts w:ascii="Arial" w:hAnsi="Arial" w:eastAsia="黑体"/>
      <w:b/>
      <w:bCs/>
      <w:kern w:val="2"/>
      <w:sz w:val="32"/>
      <w:szCs w:val="32"/>
      <w:lang w:val="en-US" w:eastAsia="zh-CN" w:bidi="ar-SA"/>
    </w:rPr>
  </w:style>
  <w:style w:type="character" w:customStyle="1" w:styleId="189">
    <w:name w:val="正文文本缩进 3 Char1"/>
    <w:link w:val="36"/>
    <w:uiPriority w:val="0"/>
    <w:rPr>
      <w:rFonts w:ascii="Times New Roman" w:hAnsi="Times New Roman" w:eastAsia="宋体" w:cs="Times New Roman"/>
      <w:b/>
      <w:bCs/>
      <w:sz w:val="24"/>
      <w:szCs w:val="20"/>
    </w:rPr>
  </w:style>
  <w:style w:type="character" w:customStyle="1" w:styleId="190">
    <w:name w:val="正文文本 字符1"/>
    <w:semiHidden/>
    <w:uiPriority w:val="99"/>
    <w:rPr>
      <w:rFonts w:ascii="宋体" w:hAnsi="宋体" w:eastAsia="宋体" w:cs="Times New Roman"/>
      <w:kern w:val="0"/>
      <w:sz w:val="24"/>
      <w:szCs w:val="20"/>
    </w:rPr>
  </w:style>
  <w:style w:type="character" w:customStyle="1" w:styleId="191">
    <w:name w:val="content"/>
    <w:qFormat/>
    <w:uiPriority w:val="0"/>
    <w:rPr>
      <w:sz w:val="28"/>
    </w:rPr>
  </w:style>
  <w:style w:type="character" w:customStyle="1" w:styleId="192">
    <w:name w:val="Char Char7"/>
    <w:uiPriority w:val="0"/>
    <w:rPr>
      <w:rFonts w:ascii="Arial" w:hAnsi="Arial" w:eastAsia="黑体"/>
      <w:b/>
      <w:bCs/>
      <w:kern w:val="2"/>
      <w:sz w:val="32"/>
      <w:szCs w:val="32"/>
      <w:lang w:val="en-US" w:eastAsia="zh-CN" w:bidi="ar-SA"/>
    </w:rPr>
  </w:style>
  <w:style w:type="character" w:customStyle="1" w:styleId="193">
    <w:name w:val="正文文本 2 Char1"/>
    <w:link w:val="40"/>
    <w:qFormat/>
    <w:uiPriority w:val="99"/>
    <w:rPr>
      <w:rFonts w:ascii="Times New Roman" w:hAnsi="Times New Roman" w:eastAsia="仿宋_GB2312" w:cs="Times New Roman"/>
      <w:sz w:val="30"/>
      <w:szCs w:val="24"/>
    </w:rPr>
  </w:style>
  <w:style w:type="character" w:customStyle="1" w:styleId="194">
    <w:name w:val="font161"/>
    <w:uiPriority w:val="0"/>
    <w:rPr>
      <w:b/>
      <w:bCs/>
      <w:sz w:val="32"/>
      <w:szCs w:val="32"/>
    </w:rPr>
  </w:style>
  <w:style w:type="character" w:customStyle="1" w:styleId="195">
    <w:name w:val="Char Char1"/>
    <w:uiPriority w:val="0"/>
    <w:rPr>
      <w:rFonts w:ascii="宋体" w:hAnsi="Courier New" w:eastAsia="宋体"/>
      <w:kern w:val="2"/>
      <w:sz w:val="21"/>
      <w:szCs w:val="20"/>
      <w:lang w:val="en-US" w:eastAsia="zh-CN" w:bidi="ar-SA"/>
    </w:rPr>
  </w:style>
  <w:style w:type="character" w:customStyle="1" w:styleId="196">
    <w:name w:val="current"/>
    <w:uiPriority w:val="0"/>
    <w:rPr>
      <w:shd w:val="clear" w:color="auto" w:fill="A00303"/>
    </w:rPr>
  </w:style>
  <w:style w:type="character" w:customStyle="1" w:styleId="197">
    <w:name w:val="批注文字 字符1"/>
    <w:uiPriority w:val="99"/>
    <w:rPr>
      <w:rFonts w:ascii="宋体" w:hAnsi="宋体" w:eastAsia="宋体" w:cs="Times New Roman"/>
      <w:kern w:val="0"/>
      <w:sz w:val="24"/>
      <w:szCs w:val="20"/>
    </w:rPr>
  </w:style>
  <w:style w:type="character" w:customStyle="1" w:styleId="198">
    <w:name w:val="law-parenthese"/>
    <w:qFormat/>
    <w:uiPriority w:val="0"/>
    <w:rPr>
      <w:sz w:val="28"/>
    </w:rPr>
  </w:style>
  <w:style w:type="character" w:customStyle="1" w:styleId="199">
    <w:name w:val="批注主题 字符1"/>
    <w:semiHidden/>
    <w:uiPriority w:val="99"/>
    <w:rPr>
      <w:rFonts w:ascii="宋体" w:hAnsi="宋体" w:eastAsia="宋体" w:cs="Times New Roman"/>
      <w:b/>
      <w:bCs/>
      <w:kern w:val="0"/>
      <w:sz w:val="24"/>
      <w:szCs w:val="20"/>
    </w:rPr>
  </w:style>
  <w:style w:type="character" w:customStyle="1" w:styleId="200">
    <w:name w:val="日期 字符1"/>
    <w:semiHidden/>
    <w:uiPriority w:val="99"/>
    <w:rPr>
      <w:rFonts w:ascii="宋体" w:hAnsi="宋体" w:eastAsia="宋体" w:cs="Times New Roman"/>
      <w:kern w:val="0"/>
      <w:sz w:val="24"/>
      <w:szCs w:val="20"/>
    </w:rPr>
  </w:style>
  <w:style w:type="character" w:customStyle="1" w:styleId="201">
    <w:name w:val="正文文本 2 字符2"/>
    <w:semiHidden/>
    <w:uiPriority w:val="99"/>
    <w:rPr>
      <w:rFonts w:ascii="Times New Roman" w:hAnsi="Times New Roman" w:eastAsia="宋体" w:cs="Times New Roman"/>
      <w:szCs w:val="24"/>
    </w:rPr>
  </w:style>
  <w:style w:type="character" w:customStyle="1" w:styleId="202">
    <w:name w:val="正文文本缩进 3 字符1"/>
    <w:semiHidden/>
    <w:uiPriority w:val="99"/>
    <w:rPr>
      <w:rFonts w:ascii="Times New Roman" w:hAnsi="Times New Roman" w:eastAsia="宋体" w:cs="Times New Roman"/>
      <w:sz w:val="16"/>
      <w:szCs w:val="16"/>
    </w:rPr>
  </w:style>
  <w:style w:type="character" w:customStyle="1" w:styleId="203">
    <w:name w:val="正文文本 字符2"/>
    <w:semiHidden/>
    <w:uiPriority w:val="99"/>
    <w:rPr>
      <w:rFonts w:ascii="Times New Roman" w:hAnsi="Times New Roman" w:eastAsia="宋体" w:cs="Times New Roman"/>
      <w:szCs w:val="24"/>
    </w:rPr>
  </w:style>
  <w:style w:type="character" w:customStyle="1" w:styleId="204">
    <w:name w:val="正文文本缩进 2 Char1"/>
    <w:link w:val="28"/>
    <w:uiPriority w:val="0"/>
    <w:rPr>
      <w:rFonts w:ascii="Times New Roman" w:hAnsi="Times New Roman" w:eastAsia="宋体" w:cs="Times New Roman"/>
      <w:sz w:val="24"/>
      <w:szCs w:val="20"/>
      <w:u w:val="single"/>
    </w:rPr>
  </w:style>
  <w:style w:type="character" w:customStyle="1" w:styleId="205">
    <w:name w:val="文档结构图 字符2"/>
    <w:semiHidden/>
    <w:uiPriority w:val="99"/>
    <w:rPr>
      <w:rFonts w:ascii="Microsoft YaHei UI" w:hAnsi="Times New Roman" w:eastAsia="Microsoft YaHei UI" w:cs="Times New Roman"/>
      <w:sz w:val="18"/>
      <w:szCs w:val="18"/>
    </w:rPr>
  </w:style>
  <w:style w:type="character" w:customStyle="1" w:styleId="206">
    <w:name w:val="批注文字 字符2"/>
    <w:semiHidden/>
    <w:uiPriority w:val="99"/>
    <w:rPr>
      <w:rFonts w:ascii="Times New Roman" w:hAnsi="Times New Roman" w:eastAsia="宋体" w:cs="Times New Roman"/>
      <w:szCs w:val="24"/>
    </w:rPr>
  </w:style>
  <w:style w:type="character" w:customStyle="1" w:styleId="207">
    <w:name w:val="批注主题 字符2"/>
    <w:semiHidden/>
    <w:uiPriority w:val="99"/>
    <w:rPr>
      <w:rFonts w:ascii="Times New Roman" w:hAnsi="Times New Roman" w:eastAsia="宋体" w:cs="Times New Roman"/>
      <w:b/>
      <w:bCs/>
      <w:szCs w:val="24"/>
    </w:rPr>
  </w:style>
  <w:style w:type="character" w:customStyle="1" w:styleId="208">
    <w:name w:val="正文文本缩进 字符1"/>
    <w:semiHidden/>
    <w:uiPriority w:val="99"/>
    <w:rPr>
      <w:rFonts w:ascii="Times New Roman" w:hAnsi="Times New Roman" w:eastAsia="宋体" w:cs="Times New Roman"/>
      <w:szCs w:val="24"/>
    </w:rPr>
  </w:style>
  <w:style w:type="character" w:customStyle="1" w:styleId="209">
    <w:name w:val="正文文本首行缩进 字符1"/>
    <w:semiHidden/>
    <w:uiPriority w:val="99"/>
  </w:style>
  <w:style w:type="character" w:customStyle="1" w:styleId="210">
    <w:name w:val="批注框文本 字符2"/>
    <w:semiHidden/>
    <w:uiPriority w:val="99"/>
    <w:rPr>
      <w:rFonts w:ascii="Times New Roman" w:hAnsi="Times New Roman" w:eastAsia="宋体" w:cs="Times New Roman"/>
      <w:sz w:val="18"/>
      <w:szCs w:val="18"/>
    </w:rPr>
  </w:style>
  <w:style w:type="character" w:customStyle="1" w:styleId="211">
    <w:name w:val="HTML 预设格式 字符2"/>
    <w:semiHidden/>
    <w:uiPriority w:val="99"/>
    <w:rPr>
      <w:rFonts w:ascii="Courier New" w:hAnsi="Courier New" w:eastAsia="宋体" w:cs="Courier New"/>
      <w:sz w:val="20"/>
      <w:szCs w:val="20"/>
    </w:rPr>
  </w:style>
  <w:style w:type="character" w:customStyle="1" w:styleId="212">
    <w:name w:val="副标题 字符2"/>
    <w:uiPriority w:val="11"/>
    <w:rPr>
      <w:b/>
      <w:bCs/>
      <w:kern w:val="28"/>
      <w:sz w:val="32"/>
      <w:szCs w:val="32"/>
    </w:rPr>
  </w:style>
  <w:style w:type="character" w:customStyle="1" w:styleId="213">
    <w:name w:val="日期 字符2"/>
    <w:semiHidden/>
    <w:uiPriority w:val="99"/>
    <w:rPr>
      <w:rFonts w:ascii="Times New Roman" w:hAnsi="Times New Roman" w:eastAsia="宋体" w:cs="Times New Roman"/>
      <w:szCs w:val="24"/>
    </w:rPr>
  </w:style>
  <w:style w:type="paragraph" w:customStyle="1" w:styleId="214">
    <w:name w:val="样式3"/>
    <w:basedOn w:val="4"/>
    <w:qFormat/>
    <w:uiPriority w:val="0"/>
    <w:pPr>
      <w:spacing w:line="415" w:lineRule="auto"/>
    </w:pPr>
    <w:rPr>
      <w:rFonts w:eastAsia="Arial"/>
    </w:rPr>
  </w:style>
  <w:style w:type="paragraph" w:customStyle="1" w:styleId="215">
    <w:name w:val="TOC 标题2"/>
    <w:basedOn w:val="2"/>
    <w:next w:val="1"/>
    <w:qFormat/>
    <w:uiPriority w:val="0"/>
    <w:pPr>
      <w:spacing w:before="260" w:after="260" w:line="413" w:lineRule="auto"/>
    </w:pPr>
    <w:rPr>
      <w:bCs/>
      <w:szCs w:val="44"/>
      <w:lang w:val="zh-CN"/>
    </w:rPr>
  </w:style>
  <w:style w:type="paragraph" w:customStyle="1" w:styleId="216">
    <w:name w:val="Char Char Char Char1"/>
    <w:basedOn w:val="1"/>
    <w:uiPriority w:val="0"/>
    <w:pPr>
      <w:spacing w:line="360" w:lineRule="auto"/>
      <w:ind w:firstLine="200" w:firstLineChars="200"/>
    </w:pPr>
    <w:rPr>
      <w:rFonts w:ascii="宋体" w:hAnsi="宋体" w:cs="宋体"/>
      <w:sz w:val="24"/>
    </w:rPr>
  </w:style>
  <w:style w:type="character" w:customStyle="1" w:styleId="217">
    <w:name w:val="纯文本 字符2"/>
    <w:semiHidden/>
    <w:uiPriority w:val="99"/>
    <w:rPr>
      <w:rFonts w:ascii="等线" w:hAnsi="Courier New" w:cs="Courier New"/>
      <w:szCs w:val="24"/>
    </w:rPr>
  </w:style>
  <w:style w:type="character" w:customStyle="1" w:styleId="218">
    <w:name w:val="正文文本 3 字符2"/>
    <w:semiHidden/>
    <w:uiPriority w:val="99"/>
    <w:rPr>
      <w:rFonts w:ascii="Times New Roman" w:hAnsi="Times New Roman" w:eastAsia="宋体" w:cs="Times New Roman"/>
      <w:sz w:val="16"/>
      <w:szCs w:val="16"/>
    </w:rPr>
  </w:style>
  <w:style w:type="character" w:customStyle="1" w:styleId="219">
    <w:name w:val="正文文本首行缩进 2 字符1"/>
    <w:semiHidden/>
    <w:uiPriority w:val="99"/>
  </w:style>
  <w:style w:type="paragraph" w:customStyle="1" w:styleId="220">
    <w:name w:val="Char Char Char1"/>
    <w:basedOn w:val="1"/>
    <w:uiPriority w:val="0"/>
    <w:pPr>
      <w:spacing w:line="360" w:lineRule="auto"/>
      <w:ind w:firstLine="200" w:firstLineChars="200"/>
    </w:pPr>
  </w:style>
  <w:style w:type="paragraph" w:customStyle="1" w:styleId="221">
    <w:name w:val="Char Char Char2 Char"/>
    <w:basedOn w:val="1"/>
    <w:qFormat/>
    <w:uiPriority w:val="0"/>
    <w:pPr>
      <w:numPr>
        <w:ilvl w:val="0"/>
        <w:numId w:val="1"/>
      </w:numPr>
      <w:tabs>
        <w:tab w:val="left" w:pos="510"/>
      </w:tabs>
    </w:pPr>
    <w:rPr>
      <w:rFonts w:eastAsia="Times New Roman"/>
      <w:kern w:val="0"/>
      <w:sz w:val="24"/>
      <w:szCs w:val="20"/>
    </w:rPr>
  </w:style>
  <w:style w:type="paragraph" w:customStyle="1" w:styleId="222">
    <w:name w:val="Char2"/>
    <w:basedOn w:val="1"/>
    <w:uiPriority w:val="0"/>
  </w:style>
  <w:style w:type="paragraph" w:customStyle="1" w:styleId="223">
    <w:name w:val="样式 标题 1 + 黑体 三号 非加粗 居中 段前: 6 磅 段后: 6 磅 行距: 固定值 20 磅"/>
    <w:basedOn w:val="2"/>
    <w:uiPriority w:val="0"/>
    <w:pPr>
      <w:spacing w:before="120" w:line="400" w:lineRule="exact"/>
    </w:pPr>
    <w:rPr>
      <w:rFonts w:ascii="黑体" w:hAnsi="黑体" w:eastAsia="黑体" w:cs="宋体"/>
      <w:b w:val="0"/>
      <w:sz w:val="32"/>
      <w:szCs w:val="20"/>
    </w:rPr>
  </w:style>
  <w:style w:type="paragraph" w:customStyle="1" w:styleId="224">
    <w:name w:val="Title 4 Chinese"/>
    <w:qFormat/>
    <w:uiPriority w:val="0"/>
    <w:pPr>
      <w:ind w:left="1276"/>
    </w:pPr>
    <w:rPr>
      <w:rFonts w:ascii="Times New Roman" w:hAnsi="Times New Roman" w:eastAsia="宋体" w:cs="Times New Roman"/>
      <w:kern w:val="2"/>
      <w:sz w:val="24"/>
      <w:szCs w:val="24"/>
      <w:lang w:val="en-US" w:eastAsia="zh-CN" w:bidi="ar-SA"/>
    </w:rPr>
  </w:style>
  <w:style w:type="paragraph" w:customStyle="1" w:styleId="225">
    <w:name w:val="6'"/>
    <w:basedOn w:val="1"/>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26">
    <w:name w:val="_Style 69"/>
    <w:basedOn w:val="21"/>
    <w:next w:val="47"/>
    <w:qFormat/>
    <w:uiPriority w:val="0"/>
    <w:pPr>
      <w:spacing w:after="120" w:line="240" w:lineRule="auto"/>
      <w:ind w:left="420" w:leftChars="200" w:firstLine="420"/>
      <w:outlineLvl w:val="9"/>
    </w:pPr>
    <w:rPr>
      <w:rFonts w:ascii="等线" w:hAnsi="等线" w:eastAsia="等线"/>
      <w:sz w:val="21"/>
      <w:szCs w:val="24"/>
    </w:rPr>
  </w:style>
  <w:style w:type="paragraph" w:customStyle="1" w:styleId="227">
    <w:name w:val="Char Char Char Char Char Char Char"/>
    <w:basedOn w:val="1"/>
    <w:uiPriority w:val="0"/>
    <w:rPr>
      <w:sz w:val="28"/>
    </w:rPr>
  </w:style>
  <w:style w:type="paragraph" w:customStyle="1" w:styleId="228">
    <w:name w:val="样式4"/>
    <w:basedOn w:val="4"/>
    <w:uiPriority w:val="0"/>
    <w:pPr>
      <w:spacing w:line="415" w:lineRule="auto"/>
    </w:pPr>
    <w:rPr>
      <w:rFonts w:eastAsia="Arial"/>
    </w:rPr>
  </w:style>
  <w:style w:type="paragraph" w:customStyle="1" w:styleId="229">
    <w:name w:val="通用标题7"/>
    <w:basedOn w:val="1"/>
    <w:qFormat/>
    <w:uiPriority w:val="0"/>
    <w:pPr>
      <w:widowControl/>
      <w:numPr>
        <w:ilvl w:val="0"/>
        <w:numId w:val="2"/>
      </w:numPr>
      <w:wordWrap w:val="0"/>
      <w:topLinePunct/>
      <w:adjustRightInd w:val="0"/>
      <w:snapToGrid w:val="0"/>
      <w:spacing w:afterLines="50" w:line="360" w:lineRule="auto"/>
      <w:ind w:firstLine="200" w:firstLineChars="200"/>
    </w:pPr>
    <w:rPr>
      <w:rFonts w:ascii="宋体" w:hAnsi="宋体"/>
      <w:kern w:val="0"/>
      <w:sz w:val="24"/>
      <w:szCs w:val="20"/>
    </w:rPr>
  </w:style>
  <w:style w:type="paragraph" w:customStyle="1" w:styleId="230">
    <w:name w:val="列表段落1"/>
    <w:basedOn w:val="1"/>
    <w:uiPriority w:val="0"/>
    <w:pPr>
      <w:ind w:firstLine="420" w:firstLineChars="200"/>
    </w:pPr>
  </w:style>
  <w:style w:type="paragraph" w:customStyle="1" w:styleId="231">
    <w:name w:val="Title 4"/>
    <w:next w:val="224"/>
    <w:qFormat/>
    <w:uiPriority w:val="0"/>
    <w:pPr>
      <w:numPr>
        <w:ilvl w:val="0"/>
        <w:numId w:val="3"/>
      </w:numPr>
      <w:ind w:left="1276" w:hanging="562"/>
      <w:jc w:val="both"/>
    </w:pPr>
    <w:rPr>
      <w:rFonts w:ascii="Times New Roman" w:hAnsi="Times New Roman" w:eastAsia="宋体" w:cs="Times New Roman"/>
      <w:kern w:val="2"/>
      <w:sz w:val="24"/>
      <w:szCs w:val="24"/>
      <w:lang w:val="en-US" w:eastAsia="zh-CN" w:bidi="ar-SA"/>
    </w:rPr>
  </w:style>
  <w:style w:type="paragraph" w:customStyle="1" w:styleId="232">
    <w:name w:val="p0"/>
    <w:basedOn w:val="1"/>
    <w:uiPriority w:val="0"/>
    <w:pPr>
      <w:widowControl/>
    </w:pPr>
    <w:rPr>
      <w:kern w:val="0"/>
      <w:szCs w:val="21"/>
    </w:rPr>
  </w:style>
  <w:style w:type="paragraph" w:customStyle="1" w:styleId="233">
    <w:name w:val="正文缩进11"/>
    <w:basedOn w:val="1"/>
    <w:uiPriority w:val="0"/>
    <w:pPr>
      <w:widowControl/>
      <w:adjustRightInd w:val="0"/>
      <w:snapToGrid w:val="0"/>
      <w:spacing w:line="480" w:lineRule="exact"/>
      <w:ind w:firstLine="567"/>
    </w:pPr>
    <w:rPr>
      <w:rFonts w:ascii="宋体"/>
      <w:color w:val="000000"/>
      <w:kern w:val="28"/>
      <w:sz w:val="28"/>
      <w:szCs w:val="20"/>
    </w:rPr>
  </w:style>
  <w:style w:type="paragraph" w:customStyle="1" w:styleId="234">
    <w:name w:val="_Style 101"/>
    <w:basedOn w:val="1"/>
    <w:next w:val="140"/>
    <w:qFormat/>
    <w:uiPriority w:val="34"/>
    <w:pPr>
      <w:ind w:firstLine="420" w:firstLineChars="200"/>
    </w:pPr>
  </w:style>
  <w:style w:type="paragraph" w:customStyle="1" w:styleId="235">
    <w:name w:val="通用标题5"/>
    <w:qFormat/>
    <w:uiPriority w:val="0"/>
    <w:pPr>
      <w:widowControl w:val="0"/>
      <w:numPr>
        <w:ilvl w:val="3"/>
        <w:numId w:val="4"/>
      </w:numPr>
      <w:tabs>
        <w:tab w:val="left" w:pos="1134"/>
      </w:tabs>
      <w:autoSpaceDE w:val="0"/>
      <w:autoSpaceDN w:val="0"/>
      <w:adjustRightInd w:val="0"/>
      <w:snapToGrid w:val="0"/>
      <w:spacing w:afterLines="50" w:line="360" w:lineRule="auto"/>
      <w:jc w:val="both"/>
    </w:pPr>
    <w:rPr>
      <w:rFonts w:ascii="宋体" w:hAnsi="宋体" w:eastAsia="宋体" w:cs="Times New Roman"/>
      <w:kern w:val="2"/>
      <w:sz w:val="24"/>
      <w:szCs w:val="21"/>
      <w:lang w:val="en-US" w:eastAsia="zh-CN" w:bidi="ar-SA"/>
    </w:rPr>
  </w:style>
  <w:style w:type="paragraph" w:customStyle="1" w:styleId="236">
    <w:name w:val="内文正文"/>
    <w:uiPriority w:val="0"/>
    <w:pPr>
      <w:autoSpaceDE w:val="0"/>
      <w:autoSpaceDN w:val="0"/>
      <w:spacing w:line="400" w:lineRule="exact"/>
      <w:ind w:firstLine="200" w:firstLineChars="200"/>
      <w:jc w:val="both"/>
      <w:textAlignment w:val="bottom"/>
    </w:pPr>
    <w:rPr>
      <w:rFonts w:ascii="宋体" w:hAnsi="???|CS?o｡ﾀ?" w:eastAsia="宋体" w:cs="Times New Roman"/>
      <w:kern w:val="0"/>
      <w:sz w:val="21"/>
      <w:szCs w:val="28"/>
      <w:lang w:val="en-US" w:eastAsia="zh-CN" w:bidi="ar-SA"/>
    </w:rPr>
  </w:style>
  <w:style w:type="paragraph" w:customStyle="1" w:styleId="237">
    <w:name w:val="1"/>
    <w:basedOn w:val="1"/>
    <w:next w:val="1"/>
    <w:uiPriority w:val="0"/>
  </w:style>
  <w:style w:type="paragraph" w:customStyle="1" w:styleId="238">
    <w:name w:val="Main Title"/>
    <w:next w:val="1"/>
    <w:qFormat/>
    <w:uiPriority w:val="0"/>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customStyle="1" w:styleId="239">
    <w:name w:val="表格文字"/>
    <w:basedOn w:val="1"/>
    <w:qFormat/>
    <w:uiPriority w:val="0"/>
    <w:pPr>
      <w:adjustRightInd w:val="0"/>
      <w:spacing w:line="420" w:lineRule="atLeast"/>
      <w:jc w:val="left"/>
      <w:textAlignment w:val="baseline"/>
    </w:pPr>
    <w:rPr>
      <w:kern w:val="0"/>
      <w:szCs w:val="20"/>
    </w:rPr>
  </w:style>
  <w:style w:type="paragraph" w:customStyle="1" w:styleId="240">
    <w:name w:val="协议书标题2"/>
    <w:basedOn w:val="3"/>
    <w:next w:val="1"/>
    <w:qFormat/>
    <w:uiPriority w:val="0"/>
    <w:pPr>
      <w:keepNext w:val="0"/>
      <w:keepLines w:val="0"/>
      <w:widowControl/>
      <w:numPr>
        <w:ilvl w:val="0"/>
        <w:numId w:val="5"/>
      </w:numPr>
      <w:tabs>
        <w:tab w:val="left" w:pos="567"/>
      </w:tabs>
      <w:wordWrap w:val="0"/>
      <w:topLinePunct/>
      <w:adjustRightInd w:val="0"/>
      <w:snapToGrid w:val="0"/>
      <w:spacing w:before="0" w:afterLines="50" w:line="360" w:lineRule="auto"/>
      <w:jc w:val="left"/>
    </w:pPr>
    <w:rPr>
      <w:kern w:val="0"/>
      <w:sz w:val="24"/>
      <w:szCs w:val="20"/>
    </w:rPr>
  </w:style>
  <w:style w:type="paragraph" w:customStyle="1" w:styleId="241">
    <w:name w:val="专用标题4"/>
    <w:basedOn w:val="6"/>
    <w:next w:val="1"/>
    <w:qFormat/>
    <w:uiPriority w:val="0"/>
    <w:pPr>
      <w:widowControl/>
      <w:adjustRightInd w:val="0"/>
      <w:snapToGrid w:val="0"/>
      <w:spacing w:before="0" w:after="0" w:line="240" w:lineRule="auto"/>
      <w:ind w:left="2835" w:hanging="567"/>
      <w:jc w:val="left"/>
    </w:pPr>
    <w:rPr>
      <w:rFonts w:eastAsia="宋体"/>
      <w:b w:val="0"/>
      <w:bCs w:val="0"/>
      <w:szCs w:val="22"/>
    </w:rPr>
  </w:style>
  <w:style w:type="paragraph" w:customStyle="1" w:styleId="242">
    <w:name w:val="CM23"/>
    <w:basedOn w:val="1"/>
    <w:next w:val="1"/>
    <w:qFormat/>
    <w:uiPriority w:val="0"/>
    <w:pPr>
      <w:autoSpaceDE w:val="0"/>
      <w:autoSpaceDN w:val="0"/>
      <w:adjustRightInd w:val="0"/>
      <w:jc w:val="left"/>
    </w:pPr>
    <w:rPr>
      <w:rFonts w:ascii="黑体" w:eastAsia="黑体" w:cs="黑体"/>
      <w:kern w:val="0"/>
      <w:sz w:val="24"/>
    </w:rPr>
  </w:style>
  <w:style w:type="paragraph" w:customStyle="1" w:styleId="243">
    <w:name w:val="表格"/>
    <w:basedOn w:val="1"/>
    <w:qFormat/>
    <w:uiPriority w:val="0"/>
    <w:pPr>
      <w:jc w:val="center"/>
      <w:textAlignment w:val="center"/>
    </w:pPr>
    <w:rPr>
      <w:rFonts w:ascii="华文细黑" w:hAnsi="华文细黑"/>
      <w:kern w:val="0"/>
      <w:szCs w:val="20"/>
    </w:rPr>
  </w:style>
  <w:style w:type="paragraph" w:customStyle="1" w:styleId="244">
    <w:name w:val="样式2"/>
    <w:basedOn w:val="4"/>
    <w:qFormat/>
    <w:uiPriority w:val="0"/>
    <w:pPr>
      <w:spacing w:line="415" w:lineRule="auto"/>
    </w:pPr>
  </w:style>
  <w:style w:type="paragraph" w:customStyle="1" w:styleId="245">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246">
    <w:name w:val="专用标题2"/>
    <w:basedOn w:val="3"/>
    <w:next w:val="1"/>
    <w:qFormat/>
    <w:uiPriority w:val="0"/>
    <w:pPr>
      <w:keepNext w:val="0"/>
      <w:keepLines w:val="0"/>
      <w:widowControl/>
      <w:tabs>
        <w:tab w:val="left" w:pos="993"/>
      </w:tabs>
      <w:adjustRightInd w:val="0"/>
      <w:snapToGrid w:val="0"/>
      <w:spacing w:before="0" w:afterLines="50" w:line="360" w:lineRule="auto"/>
      <w:jc w:val="both"/>
    </w:pPr>
    <w:rPr>
      <w:rFonts w:cs="Times"/>
      <w:kern w:val="0"/>
      <w:sz w:val="28"/>
      <w:szCs w:val="20"/>
    </w:rPr>
  </w:style>
  <w:style w:type="paragraph" w:customStyle="1" w:styleId="247">
    <w:name w:val="通用标题4"/>
    <w:next w:val="1"/>
    <w:qFormat/>
    <w:uiPriority w:val="0"/>
    <w:pPr>
      <w:numPr>
        <w:ilvl w:val="2"/>
        <w:numId w:val="4"/>
      </w:numPr>
      <w:tabs>
        <w:tab w:val="left" w:pos="851"/>
      </w:tabs>
      <w:adjustRightInd w:val="0"/>
      <w:snapToGrid w:val="0"/>
      <w:spacing w:afterLines="50" w:line="360" w:lineRule="auto"/>
      <w:jc w:val="both"/>
      <w:outlineLvl w:val="3"/>
    </w:pPr>
    <w:rPr>
      <w:rFonts w:ascii="宋体" w:hAnsi="宋体" w:eastAsia="宋体" w:cs="Times New Roman"/>
      <w:kern w:val="2"/>
      <w:sz w:val="24"/>
      <w:szCs w:val="21"/>
      <w:lang w:val="en-US" w:eastAsia="zh-CN" w:bidi="ar-SA"/>
    </w:rPr>
  </w:style>
  <w:style w:type="paragraph" w:customStyle="1" w:styleId="248">
    <w:name w:val="缩进2中"/>
    <w:qFormat/>
    <w:uiPriority w:val="0"/>
    <w:pPr>
      <w:ind w:left="708" w:leftChars="295"/>
      <w:jc w:val="both"/>
    </w:pPr>
    <w:rPr>
      <w:rFonts w:ascii="Times" w:hAnsi="Times" w:eastAsia="宋体" w:cs="Times New Roman"/>
      <w:kern w:val="2"/>
      <w:sz w:val="24"/>
      <w:szCs w:val="22"/>
      <w:lang w:val="en-US" w:eastAsia="zh-CN" w:bidi="ar-SA"/>
    </w:rPr>
  </w:style>
  <w:style w:type="paragraph" w:customStyle="1" w:styleId="249">
    <w:name w:val="LIST ALPHA CAPS 2"/>
    <w:basedOn w:val="1"/>
    <w:next w:val="40"/>
    <w:qFormat/>
    <w:uiPriority w:val="0"/>
    <w:pPr>
      <w:widowControl/>
      <w:numPr>
        <w:ilvl w:val="1"/>
        <w:numId w:val="6"/>
      </w:numPr>
      <w:tabs>
        <w:tab w:val="left" w:pos="50"/>
        <w:tab w:val="left" w:pos="1417"/>
      </w:tabs>
      <w:wordWrap w:val="0"/>
      <w:topLinePunct/>
      <w:adjustRightInd w:val="0"/>
      <w:snapToGrid w:val="0"/>
      <w:spacing w:afterLines="50" w:line="288" w:lineRule="auto"/>
      <w:ind w:firstLine="200" w:firstLineChars="200"/>
    </w:pPr>
    <w:rPr>
      <w:rFonts w:ascii="CG Times" w:hAnsi="CG Times"/>
      <w:kern w:val="0"/>
      <w:sz w:val="22"/>
      <w:szCs w:val="20"/>
      <w:lang w:val="en-GB"/>
    </w:rPr>
  </w:style>
  <w:style w:type="paragraph" w:customStyle="1" w:styleId="250">
    <w:name w:val="TOC 标题1"/>
    <w:basedOn w:val="2"/>
    <w:next w:val="1"/>
    <w:unhideWhenUsed/>
    <w:qFormat/>
    <w:uiPriority w:val="39"/>
    <w:pPr>
      <w:keepNext w:val="0"/>
      <w:keepLines w:val="0"/>
      <w:widowControl/>
      <w:adjustRightInd w:val="0"/>
      <w:snapToGrid w:val="0"/>
      <w:spacing w:before="240" w:after="0" w:line="259" w:lineRule="auto"/>
      <w:jc w:val="left"/>
      <w:outlineLvl w:val="9"/>
    </w:pPr>
    <w:rPr>
      <w:rFonts w:ascii="Calibri Light" w:hAnsi="Calibri Light"/>
      <w:b w:val="0"/>
      <w:color w:val="2E75B5"/>
      <w:kern w:val="0"/>
      <w:sz w:val="32"/>
    </w:rPr>
  </w:style>
  <w:style w:type="paragraph" w:customStyle="1" w:styleId="251">
    <w:name w:val="Char Char Char Char Char Char Char Char Char Char Char Char Char"/>
    <w:basedOn w:val="1"/>
    <w:qFormat/>
    <w:uiPriority w:val="0"/>
    <w:pPr>
      <w:numPr>
        <w:ilvl w:val="5"/>
        <w:numId w:val="7"/>
      </w:numPr>
    </w:pPr>
    <w:rPr>
      <w:rFonts w:ascii="宋体" w:hAnsi="宋体"/>
      <w:sz w:val="24"/>
    </w:rPr>
  </w:style>
  <w:style w:type="paragraph" w:customStyle="1" w:styleId="252">
    <w:name w:val="Title 5"/>
    <w:next w:val="253"/>
    <w:qFormat/>
    <w:uiPriority w:val="0"/>
    <w:pPr>
      <w:numPr>
        <w:ilvl w:val="0"/>
        <w:numId w:val="8"/>
      </w:numPr>
      <w:ind w:left="1701" w:hanging="426"/>
      <w:jc w:val="both"/>
    </w:pPr>
    <w:rPr>
      <w:rFonts w:ascii="Times New Roman" w:hAnsi="Times New Roman" w:eastAsia="宋体" w:cs="Times New Roman"/>
      <w:kern w:val="2"/>
      <w:sz w:val="24"/>
      <w:szCs w:val="24"/>
      <w:lang w:val="en-US" w:eastAsia="zh-CN" w:bidi="ar-SA"/>
    </w:rPr>
  </w:style>
  <w:style w:type="paragraph" w:customStyle="1" w:styleId="253">
    <w:name w:val="Title 5 Chinese"/>
    <w:qFormat/>
    <w:uiPriority w:val="0"/>
    <w:pPr>
      <w:ind w:left="1701"/>
    </w:pPr>
    <w:rPr>
      <w:rFonts w:ascii="Times New Roman" w:hAnsi="Times New Roman" w:eastAsia="宋体" w:cs="Times New Roman"/>
      <w:kern w:val="2"/>
      <w:sz w:val="24"/>
      <w:szCs w:val="24"/>
      <w:lang w:val="en-US" w:eastAsia="zh-CN" w:bidi="ar-SA"/>
    </w:rPr>
  </w:style>
  <w:style w:type="paragraph" w:customStyle="1" w:styleId="254">
    <w:name w:val="样式8"/>
    <w:basedOn w:val="1"/>
    <w:qFormat/>
    <w:uiPriority w:val="0"/>
    <w:pPr>
      <w:widowControl/>
      <w:wordWrap w:val="0"/>
      <w:topLinePunct/>
      <w:autoSpaceDE w:val="0"/>
      <w:autoSpaceDN w:val="0"/>
      <w:adjustRightInd w:val="0"/>
      <w:ind w:left="1274" w:leftChars="531" w:firstLine="2"/>
    </w:pPr>
    <w:rPr>
      <w:rFonts w:ascii="宋体" w:hAnsi="宋体"/>
      <w:bCs/>
      <w:kern w:val="0"/>
      <w:sz w:val="24"/>
      <w:szCs w:val="20"/>
    </w:rPr>
  </w:style>
  <w:style w:type="paragraph" w:customStyle="1" w:styleId="255">
    <w:name w:val="附件标题"/>
    <w:basedOn w:val="3"/>
    <w:next w:val="1"/>
    <w:qFormat/>
    <w:uiPriority w:val="0"/>
    <w:pPr>
      <w:widowControl/>
      <w:numPr>
        <w:ilvl w:val="2"/>
        <w:numId w:val="9"/>
      </w:numPr>
      <w:tabs>
        <w:tab w:val="left" w:pos="1134"/>
      </w:tabs>
      <w:wordWrap w:val="0"/>
      <w:topLinePunct/>
      <w:adjustRightInd w:val="0"/>
      <w:snapToGrid w:val="0"/>
      <w:spacing w:before="0" w:afterLines="50" w:line="360" w:lineRule="auto"/>
      <w:ind w:left="3681" w:firstLine="0"/>
    </w:pPr>
    <w:rPr>
      <w:rFonts w:ascii="黑体" w:hAnsi="黑体" w:eastAsia="黑体"/>
      <w:kern w:val="0"/>
      <w:sz w:val="30"/>
      <w:szCs w:val="30"/>
    </w:rPr>
  </w:style>
  <w:style w:type="paragraph" w:customStyle="1" w:styleId="256">
    <w:name w:val="through-content"/>
    <w:basedOn w:val="1"/>
    <w:qFormat/>
    <w:uiPriority w:val="0"/>
    <w:pPr>
      <w:widowControl/>
      <w:wordWrap w:val="0"/>
      <w:topLinePunct/>
      <w:spacing w:before="100" w:beforeAutospacing="1" w:after="100" w:afterAutospacing="1"/>
      <w:jc w:val="left"/>
    </w:pPr>
    <w:rPr>
      <w:rFonts w:ascii="宋体" w:hAnsi="宋体" w:cs="宋体"/>
      <w:kern w:val="0"/>
      <w:sz w:val="24"/>
      <w:szCs w:val="20"/>
    </w:rPr>
  </w:style>
  <w:style w:type="paragraph" w:customStyle="1" w:styleId="257">
    <w:name w:val="通用标题6"/>
    <w:basedOn w:val="1"/>
    <w:qFormat/>
    <w:uiPriority w:val="0"/>
    <w:pPr>
      <w:widowControl/>
      <w:numPr>
        <w:ilvl w:val="2"/>
        <w:numId w:val="10"/>
      </w:numPr>
      <w:tabs>
        <w:tab w:val="left" w:pos="993"/>
      </w:tabs>
      <w:adjustRightInd w:val="0"/>
      <w:snapToGrid w:val="0"/>
      <w:spacing w:afterLines="50" w:line="360" w:lineRule="auto"/>
      <w:ind w:left="310" w:firstLine="0"/>
    </w:pPr>
    <w:rPr>
      <w:rFonts w:ascii="宋体" w:hAnsi="宋体"/>
      <w:kern w:val="0"/>
      <w:sz w:val="24"/>
      <w:szCs w:val="20"/>
    </w:rPr>
  </w:style>
  <w:style w:type="paragraph" w:customStyle="1" w:styleId="258">
    <w:name w:val="List ALPHA CAPS 1"/>
    <w:basedOn w:val="1"/>
    <w:next w:val="20"/>
    <w:qFormat/>
    <w:uiPriority w:val="0"/>
    <w:pPr>
      <w:widowControl/>
      <w:numPr>
        <w:ilvl w:val="0"/>
        <w:numId w:val="6"/>
      </w:numPr>
      <w:tabs>
        <w:tab w:val="left" w:pos="22"/>
        <w:tab w:val="left" w:pos="624"/>
      </w:tabs>
      <w:wordWrap w:val="0"/>
      <w:topLinePunct/>
      <w:adjustRightInd w:val="0"/>
      <w:snapToGrid w:val="0"/>
      <w:spacing w:afterLines="50" w:line="288" w:lineRule="auto"/>
      <w:ind w:firstLine="200" w:firstLineChars="200"/>
    </w:pPr>
    <w:rPr>
      <w:rFonts w:ascii="CG Times" w:hAnsi="CG Times"/>
      <w:kern w:val="0"/>
      <w:sz w:val="22"/>
      <w:szCs w:val="20"/>
      <w:lang w:val="en-GB"/>
    </w:rPr>
  </w:style>
  <w:style w:type="paragraph" w:customStyle="1" w:styleId="259">
    <w:name w:val="专用标题3"/>
    <w:basedOn w:val="4"/>
    <w:qFormat/>
    <w:uiPriority w:val="0"/>
    <w:pPr>
      <w:widowControl/>
      <w:numPr>
        <w:ilvl w:val="0"/>
        <w:numId w:val="11"/>
      </w:numPr>
      <w:wordWrap w:val="0"/>
      <w:topLinePunct/>
      <w:adjustRightInd w:val="0"/>
      <w:snapToGrid w:val="0"/>
      <w:spacing w:before="0" w:afterLines="50" w:line="360" w:lineRule="auto"/>
      <w:jc w:val="left"/>
    </w:pPr>
    <w:rPr>
      <w:rFonts w:ascii="宋体" w:hAnsi="宋体"/>
      <w:bCs w:val="0"/>
      <w:kern w:val="0"/>
      <w:sz w:val="24"/>
      <w:szCs w:val="20"/>
    </w:rPr>
  </w:style>
  <w:style w:type="paragraph" w:customStyle="1" w:styleId="260">
    <w:name w:val="LIST ALPHA CAPS 3"/>
    <w:basedOn w:val="1"/>
    <w:next w:val="19"/>
    <w:qFormat/>
    <w:uiPriority w:val="0"/>
    <w:pPr>
      <w:widowControl/>
      <w:tabs>
        <w:tab w:val="left" w:pos="68"/>
        <w:tab w:val="left" w:pos="1928"/>
      </w:tabs>
      <w:wordWrap w:val="0"/>
      <w:topLinePunct/>
      <w:adjustRightInd w:val="0"/>
      <w:snapToGrid w:val="0"/>
      <w:spacing w:afterLines="50" w:line="288" w:lineRule="auto"/>
      <w:ind w:left="1928" w:hanging="511" w:firstLineChars="200"/>
    </w:pPr>
    <w:rPr>
      <w:rFonts w:ascii="CG Times" w:hAnsi="CG Times"/>
      <w:kern w:val="0"/>
      <w:sz w:val="22"/>
      <w:szCs w:val="20"/>
      <w:lang w:val="en-GB"/>
    </w:rPr>
  </w:style>
  <w:style w:type="paragraph" w:customStyle="1" w:styleId="261">
    <w:name w:val="通用标题2"/>
    <w:basedOn w:val="3"/>
    <w:next w:val="1"/>
    <w:qFormat/>
    <w:uiPriority w:val="0"/>
    <w:pPr>
      <w:keepNext w:val="0"/>
      <w:keepLines w:val="0"/>
      <w:widowControl/>
      <w:numPr>
        <w:ilvl w:val="0"/>
        <w:numId w:val="7"/>
      </w:numPr>
      <w:tabs>
        <w:tab w:val="left" w:pos="993"/>
      </w:tabs>
      <w:wordWrap w:val="0"/>
      <w:topLinePunct/>
      <w:adjustRightInd w:val="0"/>
      <w:snapToGrid w:val="0"/>
      <w:spacing w:before="0" w:afterLines="50" w:line="360" w:lineRule="auto"/>
      <w:jc w:val="both"/>
    </w:pPr>
    <w:rPr>
      <w:rFonts w:ascii="黑体" w:hAnsi="黑体" w:eastAsia="黑体"/>
      <w:kern w:val="0"/>
      <w:sz w:val="28"/>
      <w:szCs w:val="20"/>
    </w:rPr>
  </w:style>
  <w:style w:type="paragraph" w:customStyle="1" w:styleId="262">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263">
    <w:name w:val="小标题"/>
    <w:qFormat/>
    <w:uiPriority w:val="0"/>
    <w:pPr>
      <w:tabs>
        <w:tab w:val="left" w:pos="993"/>
      </w:tabs>
      <w:adjustRightInd w:val="0"/>
      <w:snapToGrid w:val="0"/>
    </w:pPr>
    <w:rPr>
      <w:rFonts w:ascii="Times New Roman" w:hAnsi="Times New Roman" w:eastAsia="宋体" w:cs="Times New Roman"/>
      <w:bCs/>
      <w:kern w:val="2"/>
      <w:sz w:val="24"/>
      <w:szCs w:val="22"/>
      <w:lang w:val="en-US" w:eastAsia="zh-CN" w:bidi="ar-SA"/>
    </w:rPr>
  </w:style>
  <w:style w:type="paragraph" w:customStyle="1" w:styleId="264">
    <w:name w:val="附件标题1"/>
    <w:next w:val="1"/>
    <w:qFormat/>
    <w:uiPriority w:val="0"/>
    <w:pPr>
      <w:numPr>
        <w:ilvl w:val="0"/>
        <w:numId w:val="12"/>
      </w:numPr>
      <w:tabs>
        <w:tab w:val="left" w:pos="567"/>
      </w:tabs>
      <w:adjustRightInd w:val="0"/>
      <w:snapToGrid w:val="0"/>
      <w:spacing w:afterLines="50" w:line="312" w:lineRule="auto"/>
    </w:pPr>
    <w:rPr>
      <w:rFonts w:ascii="黑体" w:hAnsi="黑体" w:eastAsia="黑体" w:cs="Times New Roman"/>
      <w:b/>
      <w:kern w:val="2"/>
      <w:sz w:val="24"/>
      <w:szCs w:val="24"/>
      <w:lang w:val="en-US" w:eastAsia="zh-CN" w:bidi="ar-SA"/>
    </w:rPr>
  </w:style>
  <w:style w:type="paragraph" w:customStyle="1" w:styleId="265">
    <w:name w:val="通用标题3"/>
    <w:next w:val="1"/>
    <w:qFormat/>
    <w:uiPriority w:val="0"/>
    <w:pPr>
      <w:widowControl w:val="0"/>
      <w:numPr>
        <w:ilvl w:val="0"/>
        <w:numId w:val="13"/>
      </w:numPr>
      <w:tabs>
        <w:tab w:val="left" w:pos="851"/>
      </w:tabs>
      <w:adjustRightInd w:val="0"/>
      <w:snapToGrid w:val="0"/>
      <w:spacing w:afterLines="50" w:line="360" w:lineRule="auto"/>
      <w:jc w:val="both"/>
      <w:outlineLvl w:val="2"/>
    </w:pPr>
    <w:rPr>
      <w:rFonts w:ascii="黑体" w:hAnsi="黑体" w:eastAsia="黑体" w:cs="Times New Roman"/>
      <w:b/>
      <w:kern w:val="2"/>
      <w:sz w:val="24"/>
      <w:szCs w:val="24"/>
      <w:lang w:val="en-US" w:eastAsia="zh-CN" w:bidi="ar-SA"/>
    </w:rPr>
  </w:style>
  <w:style w:type="character" w:customStyle="1" w:styleId="266">
    <w:name w:val="正文首行缩进 Char"/>
    <w:basedOn w:val="83"/>
    <w:link w:val="46"/>
    <w:semiHidden/>
    <w:uiPriority w:val="99"/>
    <w:rPr>
      <w:rFonts w:ascii="Times New Roman" w:hAnsi="Times New Roman" w:eastAsia="宋体" w:cs="Times New Roman"/>
      <w:sz w:val="24"/>
      <w:szCs w:val="24"/>
    </w:rPr>
  </w:style>
  <w:style w:type="character" w:customStyle="1" w:styleId="267">
    <w:name w:val="正文首行缩进 2 Char"/>
    <w:basedOn w:val="164"/>
    <w:link w:val="47"/>
    <w:semiHidden/>
    <w:uiPriority w:val="99"/>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7496</Words>
  <Characters>42733</Characters>
  <Lines>356</Lines>
  <Paragraphs>100</Paragraphs>
  <TotalTime>73</TotalTime>
  <ScaleCrop>false</ScaleCrop>
  <LinksUpToDate>false</LinksUpToDate>
  <CharactersWithSpaces>50129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2021-09-02T07:45:00Z</dcterms:created>
  <dc:creator>周立辉</dc:creator>
  <cp:lastModifiedBy>寧靜致遠</cp:lastModifiedBy>
  <dcterms:modified xsi:type="dcterms:W3CDTF">2021-09-03T07:12:38Z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FD87EBAE96F54AD18C14CDD5CCB5FB4E</vt:lpwstr>
  </property>
</Properties>
</file>